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C611" w14:textId="77777777" w:rsidR="002E347E" w:rsidRDefault="002E347E" w:rsidP="002E347E">
      <w:pPr>
        <w:rPr>
          <w:rFonts w:ascii="Arial" w:hAnsi="Arial" w:cs="Arial"/>
          <w:b/>
          <w:bCs/>
          <w:sz w:val="24"/>
        </w:rPr>
      </w:pPr>
      <w:bookmarkStart w:id="0" w:name="_Hlk201755237"/>
    </w:p>
    <w:p w14:paraId="764A664B" w14:textId="77777777" w:rsidR="002E347E" w:rsidRPr="00113179" w:rsidRDefault="002E347E" w:rsidP="002E347E">
      <w:pPr>
        <w:pStyle w:val="OZNPROJEKTUwskazaniedatylubwersjiprojektu"/>
      </w:pPr>
      <w:bookmarkStart w:id="1" w:name="_Hlk201755267"/>
      <w:r w:rsidRPr="00113179">
        <w:t>Projekt</w:t>
      </w:r>
    </w:p>
    <w:p w14:paraId="1F434F92" w14:textId="77777777" w:rsidR="002E347E" w:rsidRDefault="002E347E" w:rsidP="002E347E">
      <w:pPr>
        <w:pStyle w:val="OZNRODZAKTUtznustawalubrozporzdzenieiorganwydajcy"/>
      </w:pPr>
      <w:r>
        <w:t xml:space="preserve">    </w:t>
      </w:r>
    </w:p>
    <w:p w14:paraId="7450657C" w14:textId="77777777" w:rsidR="002E347E" w:rsidRPr="00113179" w:rsidRDefault="002E347E" w:rsidP="002E347E">
      <w:pPr>
        <w:pStyle w:val="OZNRODZAKTUtznustawalubrozporzdzenieiorganwydajcy"/>
      </w:pPr>
      <w:r w:rsidRPr="00113179">
        <w:t xml:space="preserve">USTAWA </w:t>
      </w:r>
    </w:p>
    <w:p w14:paraId="4B5230E5" w14:textId="77777777" w:rsidR="002E347E" w:rsidRPr="00113179" w:rsidRDefault="002E347E" w:rsidP="002E347E">
      <w:pPr>
        <w:pStyle w:val="DATAAKTUdatauchwalenialubwydaniaaktu"/>
      </w:pPr>
      <w:r w:rsidRPr="00113179">
        <w:t>z dnia … r.</w:t>
      </w:r>
    </w:p>
    <w:p w14:paraId="2B2A9BEE" w14:textId="77777777" w:rsidR="002E347E" w:rsidRPr="00113179" w:rsidRDefault="002E347E" w:rsidP="002E347E">
      <w:pPr>
        <w:pStyle w:val="TYTUAKTUprzedmiotregulacjiustawylubrozporzdzenia"/>
      </w:pPr>
      <w:r w:rsidRPr="00113179">
        <w:t xml:space="preserve">o zmianie ustawy </w:t>
      </w:r>
      <w:r w:rsidRPr="008110CE">
        <w:t>– Prawo geodezyjne i kartograficzne</w:t>
      </w:r>
    </w:p>
    <w:p w14:paraId="1CACD207" w14:textId="77777777" w:rsidR="002E347E" w:rsidRDefault="002E347E" w:rsidP="002E347E">
      <w:pPr>
        <w:pStyle w:val="ARTartustawynprozporzdzenia"/>
      </w:pPr>
      <w:r w:rsidRPr="00113179">
        <w:rPr>
          <w:rStyle w:val="Ppogrubienie"/>
        </w:rPr>
        <w:t>Art. 1.</w:t>
      </w:r>
      <w:r w:rsidRPr="00113179">
        <w:t xml:space="preserve"> W </w:t>
      </w:r>
      <w:bookmarkStart w:id="2" w:name="_Hlk189164562"/>
      <w:r w:rsidRPr="00113179">
        <w:t xml:space="preserve">ustawie </w:t>
      </w:r>
      <w:r w:rsidRPr="00F069B7">
        <w:t>z dnia 17 maja 1989 r.</w:t>
      </w:r>
      <w:r>
        <w:t xml:space="preserve"> –</w:t>
      </w:r>
      <w:r w:rsidRPr="00F069B7">
        <w:t xml:space="preserve"> Prawo geodezyjne i kartograficzne </w:t>
      </w:r>
      <w:r w:rsidRPr="00113179">
        <w:t xml:space="preserve">(Dz. U. z </w:t>
      </w:r>
      <w:r w:rsidRPr="00F069B7">
        <w:t>2024 r. poz. 1151</w:t>
      </w:r>
      <w:r>
        <w:t xml:space="preserve"> i</w:t>
      </w:r>
      <w:r w:rsidRPr="00F069B7">
        <w:t xml:space="preserve"> 1824</w:t>
      </w:r>
      <w:r w:rsidRPr="00113179">
        <w:t>)</w:t>
      </w:r>
      <w:r>
        <w:t xml:space="preserve"> </w:t>
      </w:r>
      <w:bookmarkEnd w:id="2"/>
      <w:r>
        <w:t>wprowadza się następujące zmiany:</w:t>
      </w:r>
    </w:p>
    <w:p w14:paraId="2D0224D8" w14:textId="77777777" w:rsidR="002E347E" w:rsidRDefault="002E347E" w:rsidP="002E347E">
      <w:pPr>
        <w:pStyle w:val="PKTpunkt"/>
      </w:pPr>
      <w:r>
        <w:t>1)</w:t>
      </w:r>
      <w:r>
        <w:tab/>
      </w:r>
      <w:r w:rsidRPr="001F5981">
        <w:t xml:space="preserve">w art. 40a w ust. 2 w pkt 1 </w:t>
      </w:r>
      <w:r>
        <w:t>w lit. j średnik zastępuje się przecinkiem i dodaje się lit. k w brzmieniu:</w:t>
      </w:r>
    </w:p>
    <w:p w14:paraId="464C4531" w14:textId="77777777" w:rsidR="002E347E" w:rsidRDefault="002E347E" w:rsidP="002E347E">
      <w:pPr>
        <w:pStyle w:val="ZLITzmlitartykuempunktem"/>
      </w:pPr>
      <w:r>
        <w:t>„k)</w:t>
      </w:r>
      <w:r>
        <w:tab/>
      </w:r>
      <w:r w:rsidRPr="001F5981">
        <w:t>rejestru cen nieruchomości;</w:t>
      </w:r>
      <w:r>
        <w:t>”;</w:t>
      </w:r>
    </w:p>
    <w:p w14:paraId="770730A7" w14:textId="77777777" w:rsidR="002E347E" w:rsidRDefault="002E347E" w:rsidP="002E347E">
      <w:pPr>
        <w:pStyle w:val="PKTpunkt"/>
      </w:pPr>
      <w:r>
        <w:t>2) w załączniku do ustawy:</w:t>
      </w:r>
    </w:p>
    <w:p w14:paraId="69E27E49" w14:textId="77777777" w:rsidR="002E347E" w:rsidRPr="00E20BDD" w:rsidRDefault="002E347E" w:rsidP="002E347E">
      <w:pPr>
        <w:pStyle w:val="LITlitera"/>
      </w:pPr>
      <w:r>
        <w:t>a)</w:t>
      </w:r>
      <w:r>
        <w:tab/>
        <w:t>w ust. 4 pkt 1 otrzymuje brzmienie:</w:t>
      </w:r>
    </w:p>
    <w:p w14:paraId="3113AE08" w14:textId="77777777" w:rsidR="002E347E" w:rsidRDefault="002E347E" w:rsidP="002E347E">
      <w:pPr>
        <w:pStyle w:val="ZLITPKTzmpktliter"/>
      </w:pPr>
      <w:r>
        <w:t>„</w:t>
      </w:r>
      <w:r w:rsidRPr="00E20BDD">
        <w:t>1) 1,0 – gdy materiały zasobu są udostępniane określonemu podmiotowi dla jego potrzeb własnych niezwiązanych z działalnością gospodarczą, bez prawa publikacji w sieci Internet</w:t>
      </w:r>
      <w:r>
        <w:t>;”,</w:t>
      </w:r>
    </w:p>
    <w:p w14:paraId="5B0837E1" w14:textId="77777777" w:rsidR="002E347E" w:rsidRDefault="002E347E" w:rsidP="002E347E">
      <w:pPr>
        <w:pStyle w:val="LITlitera"/>
      </w:pPr>
      <w:r>
        <w:t>b)</w:t>
      </w:r>
      <w:r>
        <w:tab/>
        <w:t>w ust. 8 wyrazy „</w:t>
      </w:r>
      <w:r w:rsidRPr="00A67869">
        <w:t>nr 2, 3, 6–14 i 16</w:t>
      </w:r>
      <w:r>
        <w:t>” zastępuje się wyrazami „</w:t>
      </w:r>
      <w:r w:rsidRPr="00A67869">
        <w:t>nr 2, 3, 6–</w:t>
      </w:r>
      <w:r>
        <w:t xml:space="preserve">11, 13, </w:t>
      </w:r>
      <w:r w:rsidRPr="00A67869">
        <w:t>14 i 16</w:t>
      </w:r>
      <w:r>
        <w:t>”,</w:t>
      </w:r>
    </w:p>
    <w:p w14:paraId="65549DCF" w14:textId="77777777" w:rsidR="002E347E" w:rsidRDefault="002E347E" w:rsidP="002E347E">
      <w:pPr>
        <w:pStyle w:val="LITlitera"/>
      </w:pPr>
      <w:r>
        <w:t>c)</w:t>
      </w:r>
      <w:r>
        <w:tab/>
        <w:t xml:space="preserve">w ust. 18 </w:t>
      </w:r>
      <w:r w:rsidRPr="00A67869">
        <w:t xml:space="preserve">wyrazy </w:t>
      </w:r>
      <w:r>
        <w:t>„</w:t>
      </w:r>
      <w:r w:rsidRPr="00A67869">
        <w:t>nr 6, 9, 10 (lp. 3, 4, 19, 20), 12 lub 13</w:t>
      </w:r>
      <w:r>
        <w:t>”</w:t>
      </w:r>
      <w:r w:rsidRPr="00A67869">
        <w:t xml:space="preserve"> zastępuje się wyrazami </w:t>
      </w:r>
      <w:r>
        <w:t>„</w:t>
      </w:r>
      <w:r w:rsidRPr="00A67869">
        <w:t>nr 6, 9, 10 (lp. 3, 4, 19, 20) lub 13</w:t>
      </w:r>
      <w:r>
        <w:t>”</w:t>
      </w:r>
      <w:r w:rsidRPr="00A67869">
        <w:t>,</w:t>
      </w:r>
    </w:p>
    <w:p w14:paraId="7A36FDB0" w14:textId="77777777" w:rsidR="002E347E" w:rsidRPr="00A67869" w:rsidRDefault="002E347E" w:rsidP="002E347E">
      <w:pPr>
        <w:pStyle w:val="LITlitera"/>
      </w:pPr>
      <w:r>
        <w:t>d)</w:t>
      </w:r>
      <w:r>
        <w:tab/>
        <w:t>uchyla się tabelę nr 12.</w:t>
      </w:r>
    </w:p>
    <w:p w14:paraId="2AAF53EE" w14:textId="77777777" w:rsidR="002E347E" w:rsidRDefault="002E347E" w:rsidP="002E347E">
      <w:pPr>
        <w:pStyle w:val="ARTartustawynprozporzdzenia"/>
      </w:pPr>
      <w:r>
        <w:rPr>
          <w:rStyle w:val="Ppogrubienie"/>
        </w:rPr>
        <w:t xml:space="preserve">Art. 2. </w:t>
      </w:r>
      <w:r>
        <w:t>Do wniosków o udostępnienie rejestru cen nieruchomości złożonych i nierozpatrzonych przed dniem wejścia w życie niniejszej ustawy stosuje się przepisy ustawy zmienianej w art. 1 w brzmieniu dotychczasowym.</w:t>
      </w:r>
    </w:p>
    <w:p w14:paraId="2333A934" w14:textId="77777777" w:rsidR="002E347E" w:rsidRPr="008110CE" w:rsidRDefault="002E347E" w:rsidP="002E347E">
      <w:pPr>
        <w:pStyle w:val="ARTartustawynprozporzdzenia"/>
      </w:pPr>
      <w:r w:rsidRPr="00F05CA7">
        <w:rPr>
          <w:rStyle w:val="Ppogrubienie"/>
        </w:rPr>
        <w:t xml:space="preserve">Art. </w:t>
      </w:r>
      <w:r>
        <w:rPr>
          <w:rStyle w:val="Ppogrubienie"/>
        </w:rPr>
        <w:t>3</w:t>
      </w:r>
      <w:r w:rsidRPr="00F05CA7">
        <w:rPr>
          <w:rStyle w:val="Ppogrubienie"/>
        </w:rPr>
        <w:t>.</w:t>
      </w:r>
      <w:r w:rsidRPr="00F05CA7">
        <w:t xml:space="preserve"> Dotychczasowe przepisy wykonawcze wydane na podstawie art. </w:t>
      </w:r>
      <w:r>
        <w:t xml:space="preserve">40g </w:t>
      </w:r>
      <w:r w:rsidRPr="00F05CA7">
        <w:t xml:space="preserve">ustawy zmienianej w art. 1 zachowują moc do </w:t>
      </w:r>
      <w:r>
        <w:t>dnia</w:t>
      </w:r>
      <w:r w:rsidRPr="00F05CA7">
        <w:t xml:space="preserve"> wejścia w życie przepisów wykonawczych wydanych na podstawie art. </w:t>
      </w:r>
      <w:r>
        <w:t xml:space="preserve">40g </w:t>
      </w:r>
      <w:r w:rsidRPr="00F05CA7">
        <w:t xml:space="preserve">ustawy zmienianej w art. 1, w brzmieniu nadanym niniejszą ustawą, jednak nie dłużej niż przez </w:t>
      </w:r>
      <w:r>
        <w:t>6</w:t>
      </w:r>
      <w:r w:rsidRPr="00F05CA7">
        <w:t xml:space="preserve"> miesięcy od dnia wejścia w życie niniejszej ustawy.</w:t>
      </w:r>
    </w:p>
    <w:p w14:paraId="0FEEFE45" w14:textId="77777777" w:rsidR="002E347E" w:rsidRDefault="002E347E" w:rsidP="002E347E">
      <w:pPr>
        <w:pStyle w:val="ARTartustawynprozporzdzenia"/>
      </w:pPr>
      <w:r w:rsidRPr="00477B30">
        <w:rPr>
          <w:rStyle w:val="Ppogrubienie"/>
        </w:rPr>
        <w:t xml:space="preserve">Art. </w:t>
      </w:r>
      <w:r>
        <w:rPr>
          <w:rStyle w:val="Ppogrubienie"/>
        </w:rPr>
        <w:t>4</w:t>
      </w:r>
      <w:r w:rsidRPr="00477B30">
        <w:rPr>
          <w:rStyle w:val="Ppogrubienie"/>
        </w:rPr>
        <w:t>.</w:t>
      </w:r>
      <w:r>
        <w:t xml:space="preserve"> Ustawa wchodzi w życie po upływie 3 miesięcy od dnia ogłoszenia.</w:t>
      </w:r>
    </w:p>
    <w:p w14:paraId="5E9D5064" w14:textId="77777777" w:rsidR="002E347E" w:rsidRDefault="002E347E" w:rsidP="002E347E">
      <w:pPr>
        <w:rPr>
          <w:rFonts w:ascii="Times" w:hAnsi="Times"/>
        </w:rPr>
      </w:pPr>
      <w:r>
        <w:br w:type="page"/>
      </w:r>
    </w:p>
    <w:p w14:paraId="5421F66D" w14:textId="77777777" w:rsidR="002E347E" w:rsidRDefault="002E347E" w:rsidP="002E347E">
      <w:pPr>
        <w:pStyle w:val="OZNRODZAKTUtznustawalubrozporzdzenieiorganwydajcy"/>
      </w:pPr>
      <w:r>
        <w:lastRenderedPageBreak/>
        <w:t>UZASADNIENIE</w:t>
      </w:r>
    </w:p>
    <w:p w14:paraId="35F7953B" w14:textId="77777777" w:rsidR="002E347E" w:rsidRDefault="002E347E" w:rsidP="002E347E">
      <w:pPr>
        <w:pStyle w:val="ZDANIENASTNOWYWIERSZnpzddrugienowywierszwust"/>
      </w:pPr>
    </w:p>
    <w:p w14:paraId="7624C5E8" w14:textId="77777777" w:rsidR="002E347E" w:rsidRDefault="002E347E" w:rsidP="002E347E">
      <w:pPr>
        <w:pStyle w:val="ZDANIENASTNOWYWIERSZnpzddrugienowywierszwust"/>
      </w:pPr>
      <w:r>
        <w:t>R</w:t>
      </w:r>
      <w:r w:rsidRPr="00DB3105">
        <w:t>ejestr cen nieruchomości</w:t>
      </w:r>
      <w:r>
        <w:t xml:space="preserve"> (dalej "RCN") prowadzony na podstawie przepisów ustawy </w:t>
      </w:r>
      <w:r w:rsidRPr="00DB3105">
        <w:t>z dnia 17 maja 1989 r. – Prawo geodezyjne i kartograficzne</w:t>
      </w:r>
      <w:r>
        <w:t xml:space="preserve"> zawiera wiele istotnych danych dla obywateli, a także może służyć kontroli prawidłowego funkcjonowania rynku cen nieruchomości. W szczególności dane zawarte w RCN dotyczą położenia i rodzaju sprzedanych nieruchomości, a także rzeczywistych cen transakcyjnych sprzedaży, pozyskanych z aktów notarialnych, które po przesłaniu do powiatu wpisywane są do RCN w </w:t>
      </w:r>
      <w:r w:rsidRPr="00F94B64">
        <w:t>terminie 30 dni od dnia otrzymania</w:t>
      </w:r>
      <w:r>
        <w:t xml:space="preserve"> odpowiednich </w:t>
      </w:r>
      <w:r w:rsidRPr="00F94B64">
        <w:t>dokumentów</w:t>
      </w:r>
      <w:r>
        <w:t>. Dane te mogą być wykorzystywane w różnoraki sposób zarówno przez rzeczoznawców szacujących wartość nieruchomości dla różnych celów, firmy komercyjnie przetwarzające i udostępniające dane o obrocie nieruchomościami, a także przez poszczególnych obywateli, którzy chcą pozyskać aktualne informacje o cenach nieruchomości w interesującej ich konkretnej okolicy.</w:t>
      </w:r>
    </w:p>
    <w:p w14:paraId="7BC94E70" w14:textId="77777777" w:rsidR="002E347E" w:rsidRDefault="002E347E" w:rsidP="002E347E">
      <w:pPr>
        <w:pStyle w:val="USTustnpkodeksu"/>
        <w:ind w:firstLine="0"/>
      </w:pPr>
      <w:r>
        <w:t xml:space="preserve">Obecnie dostęp do danych RCN uzależniony jest od wniesienia opłaty. W praktyce ogranicza to dostęp do pełnych danych, które są upubliczniane w RCN. Poszczególne starostwa przyjmują też różną praktykę co do formy i trybu składania wniosków. Podkreślić także należy, że RCN dostępny jest na stronie geoportal.gov.pl. </w:t>
      </w:r>
    </w:p>
    <w:p w14:paraId="74D313F3" w14:textId="77777777" w:rsidR="002E347E" w:rsidRDefault="002E347E" w:rsidP="002E347E">
      <w:pPr>
        <w:pStyle w:val="USTustnpkodeksu"/>
        <w:ind w:firstLine="0"/>
      </w:pPr>
      <w:r>
        <w:t>W obecnym stanie prawnym i faktycznym nie ma uzasadnienia, aby utrzymywać odpłatność za udostępnienia danych z RCN. Celem projektu jest zniesienie tego obowiązku przez wykreślenie z ustawy – Prawo geodezyjne i kartograficzne przepisów określających podstawę pobierania opłat za dostęp do RCN.</w:t>
      </w:r>
    </w:p>
    <w:p w14:paraId="60B13574" w14:textId="77777777" w:rsidR="002E347E" w:rsidRDefault="002E347E" w:rsidP="002E347E">
      <w:pPr>
        <w:pStyle w:val="USTustnpkodeksu"/>
      </w:pPr>
      <w:r>
        <w:t>Pełny, nieodpłatny dostęp do RCN</w:t>
      </w:r>
      <w:r w:rsidRPr="00F30899">
        <w:t xml:space="preserve"> </w:t>
      </w:r>
      <w:r>
        <w:t>wpłynie</w:t>
      </w:r>
      <w:r w:rsidRPr="00F30899">
        <w:t xml:space="preserve"> </w:t>
      </w:r>
      <w:r>
        <w:t xml:space="preserve">na </w:t>
      </w:r>
      <w:r w:rsidRPr="00F30899">
        <w:t>rozwój nowych</w:t>
      </w:r>
      <w:r>
        <w:t xml:space="preserve"> informatycznych </w:t>
      </w:r>
      <w:r w:rsidRPr="00F30899">
        <w:t xml:space="preserve">narzędzi i usług </w:t>
      </w:r>
      <w:r>
        <w:t>w zakresie</w:t>
      </w:r>
      <w:r w:rsidRPr="00F30899">
        <w:t xml:space="preserve"> hand</w:t>
      </w:r>
      <w:r>
        <w:t>lu</w:t>
      </w:r>
      <w:r w:rsidRPr="00F30899">
        <w:t xml:space="preserve"> nieruchomościami</w:t>
      </w:r>
      <w:r>
        <w:t>. P</w:t>
      </w:r>
      <w:r w:rsidRPr="00F30899">
        <w:t>ubliczny dostęp do tych danych zwiększy przejrzystość rynku. Kupujący</w:t>
      </w:r>
      <w:r>
        <w:t xml:space="preserve"> i</w:t>
      </w:r>
      <w:r w:rsidRPr="00F30899">
        <w:t xml:space="preserve"> sprzedający</w:t>
      </w:r>
      <w:r>
        <w:t xml:space="preserve"> oraz właściciele i </w:t>
      </w:r>
      <w:r w:rsidRPr="00F30899">
        <w:t>inwestorzy</w:t>
      </w:r>
      <w:r>
        <w:t xml:space="preserve"> – posiadając aktualne i rzetelne dane o cenach rynkowych – będą mogli działać adekwatnie do rzeczywistych potrzeb rynkowych. Powszechność dostępu do danych RCN ograniczy możliwości </w:t>
      </w:r>
      <w:r w:rsidRPr="00F30899">
        <w:t>manipulacji cenami.</w:t>
      </w:r>
      <w:r>
        <w:t xml:space="preserve"> Poprawi to zwłaszcza pozycję obywateli zaspokajających swoje potrzeby mieszkaniowe. Wraz z innym mechanizmami kontroli rynku w tym, obowiązkiem upublicznienia cen ofertowych przez deweloperów, wprowadzonym ustawą </w:t>
      </w:r>
      <w:r w:rsidRPr="00BA5ACD">
        <w:t>z dnia 21 maja 2025 r.</w:t>
      </w:r>
      <w:r>
        <w:t xml:space="preserve"> </w:t>
      </w:r>
      <w:r w:rsidRPr="00BA5ACD">
        <w:t>o zmianie ustawy o ochronie praw nabywcy lokalu mieszkalnego lub domu</w:t>
      </w:r>
      <w:r>
        <w:t xml:space="preserve"> </w:t>
      </w:r>
      <w:r w:rsidRPr="00BA5ACD">
        <w:t>jednorodzinnego oraz Deweloperskim</w:t>
      </w:r>
      <w:r>
        <w:t xml:space="preserve"> </w:t>
      </w:r>
      <w:r w:rsidRPr="00BA5ACD">
        <w:t>Funduszu Gwarancyjnym</w:t>
      </w:r>
      <w:r>
        <w:t xml:space="preserve"> korzystnie wpłynie to na konkurencyjność rynku nieruchomości i jego stabilność.</w:t>
      </w:r>
    </w:p>
    <w:p w14:paraId="095C9DCD" w14:textId="77777777" w:rsidR="002E347E" w:rsidRDefault="002E347E" w:rsidP="002E347E">
      <w:pPr>
        <w:pStyle w:val="USTustnpkodeksu"/>
      </w:pPr>
      <w:r>
        <w:t xml:space="preserve">W związku z wejściem w życie ustawy konieczne będzie wydanie nowego rozporządzenia na podstawie art. 40g zmienianej ustawy. Upoważnienie ustawowe, co prawda nie zmienia swojego brzmienia, ale zmienia się jego treść, gdyż wykonanie delegacji jest ściśle związane ze zmianami koniecznymi w obecnym rozporządzeniu dotyczącym w szczególności ustalania </w:t>
      </w:r>
      <w:r>
        <w:lastRenderedPageBreak/>
        <w:t>odpłatności za realizację wniosków o udostępnienie danych RCN. Nowe rozporządzenie jakie musi być wydane, będzie co do zasady identyczne z obecnie obowiązującym r</w:t>
      </w:r>
      <w:r w:rsidRPr="0045470D">
        <w:t>ozporządzenie</w:t>
      </w:r>
      <w:r>
        <w:t>m</w:t>
      </w:r>
      <w:r w:rsidRPr="0045470D">
        <w:t xml:space="preserve"> Ministra Rozwoju z dnia 28 lipca 2020 r. w sprawie wzorów wniosków o udostępnienie materiałów państwowego zasobu geodezyjnego i kartograficznego, licencji i Dokumentu Obliczenia Opłaty, a także sposobu wydawania licencji</w:t>
      </w:r>
      <w:r>
        <w:t xml:space="preserve"> (Dz. U. poz. 1322 oraz 2023 r. poz. 1135). W nowym rozporządzeniu wykreślone zostaną wszystkie przepisy związane z odpłatnością za dane z RCN.</w:t>
      </w:r>
    </w:p>
    <w:p w14:paraId="411E8236" w14:textId="77777777" w:rsidR="002E347E" w:rsidRDefault="002E347E" w:rsidP="002E347E">
      <w:pPr>
        <w:pStyle w:val="USTustnpkodeksu"/>
      </w:pPr>
    </w:p>
    <w:p w14:paraId="4A76290F" w14:textId="77777777" w:rsidR="002E347E" w:rsidRPr="00C5610A" w:rsidRDefault="002E347E" w:rsidP="002E347E">
      <w:pPr>
        <w:pStyle w:val="ARTartustawynprozporzdzenia"/>
      </w:pPr>
      <w:r w:rsidRPr="00C5610A">
        <w:t>Projekt jest zgodny z prawem Unii Europejskiej.</w:t>
      </w:r>
    </w:p>
    <w:p w14:paraId="3211FD51" w14:textId="77777777" w:rsidR="002E347E" w:rsidRDefault="002E347E" w:rsidP="002E347E">
      <w:pPr>
        <w:pStyle w:val="USTustnpkodeksu"/>
      </w:pPr>
    </w:p>
    <w:p w14:paraId="772FD03C" w14:textId="77777777" w:rsidR="002E347E" w:rsidRDefault="002E347E" w:rsidP="002E347E">
      <w:pPr>
        <w:pStyle w:val="USTustnpkodeksu"/>
      </w:pPr>
    </w:p>
    <w:p w14:paraId="00547667" w14:textId="77777777" w:rsidR="002E347E" w:rsidRDefault="002E347E" w:rsidP="002E347E">
      <w:pPr>
        <w:pStyle w:val="USTustnpkodeksu"/>
      </w:pPr>
    </w:p>
    <w:p w14:paraId="434EF069" w14:textId="77777777" w:rsidR="002E347E" w:rsidRDefault="002E347E" w:rsidP="002E347E">
      <w:pPr>
        <w:pStyle w:val="USTustnpkodeksu"/>
      </w:pPr>
    </w:p>
    <w:p w14:paraId="4669BF51" w14:textId="77777777" w:rsidR="002E347E" w:rsidRDefault="002E347E" w:rsidP="002E347E">
      <w:pPr>
        <w:pStyle w:val="USTustnpkodeksu"/>
      </w:pPr>
    </w:p>
    <w:p w14:paraId="61DD601D" w14:textId="77777777" w:rsidR="002E347E" w:rsidRDefault="002E347E" w:rsidP="002E347E">
      <w:pPr>
        <w:pStyle w:val="USTustnpkodeksu"/>
      </w:pPr>
    </w:p>
    <w:p w14:paraId="04BD22A3" w14:textId="77777777" w:rsidR="002E347E" w:rsidRDefault="002E347E" w:rsidP="002E347E">
      <w:pPr>
        <w:pStyle w:val="USTustnpkodeksu"/>
      </w:pPr>
    </w:p>
    <w:p w14:paraId="66E6827B" w14:textId="77777777" w:rsidR="002E347E" w:rsidRDefault="002E347E" w:rsidP="002E347E">
      <w:pPr>
        <w:pStyle w:val="USTustnpkodeksu"/>
      </w:pPr>
    </w:p>
    <w:p w14:paraId="34289C86" w14:textId="77777777" w:rsidR="002E347E" w:rsidRDefault="002E347E" w:rsidP="002E347E">
      <w:pPr>
        <w:pStyle w:val="USTustnpkodeksu"/>
      </w:pPr>
    </w:p>
    <w:p w14:paraId="1509937A" w14:textId="77777777" w:rsidR="002E347E" w:rsidRDefault="002E347E" w:rsidP="002E347E">
      <w:pPr>
        <w:pStyle w:val="USTustnpkodeksu"/>
      </w:pPr>
    </w:p>
    <w:p w14:paraId="2B6B7E25" w14:textId="77777777" w:rsidR="002E347E" w:rsidRDefault="002E347E" w:rsidP="002E347E">
      <w:pPr>
        <w:pStyle w:val="USTustnpkodeksu"/>
      </w:pPr>
    </w:p>
    <w:p w14:paraId="55D32E94" w14:textId="77777777" w:rsidR="002E347E" w:rsidRDefault="002E347E" w:rsidP="002E347E">
      <w:pPr>
        <w:pStyle w:val="USTustnpkodeksu"/>
      </w:pPr>
    </w:p>
    <w:p w14:paraId="21AEB524" w14:textId="77777777" w:rsidR="002E347E" w:rsidRDefault="002E347E" w:rsidP="002E347E">
      <w:pPr>
        <w:pStyle w:val="USTustnpkodeksu"/>
      </w:pPr>
    </w:p>
    <w:p w14:paraId="4667E398" w14:textId="77777777" w:rsidR="002E347E" w:rsidRDefault="002E347E" w:rsidP="002E347E">
      <w:pPr>
        <w:pStyle w:val="USTustnpkodeksu"/>
      </w:pPr>
    </w:p>
    <w:p w14:paraId="1A931CEE" w14:textId="77777777" w:rsidR="002E347E" w:rsidRDefault="002E347E" w:rsidP="002E347E">
      <w:pPr>
        <w:pStyle w:val="USTustnpkodeksu"/>
      </w:pPr>
    </w:p>
    <w:p w14:paraId="18C9A0B8" w14:textId="77777777" w:rsidR="002E347E" w:rsidRDefault="002E347E" w:rsidP="002E347E">
      <w:pPr>
        <w:pStyle w:val="USTustnpkodeksu"/>
      </w:pPr>
    </w:p>
    <w:p w14:paraId="0A27668C" w14:textId="77777777" w:rsidR="002E347E" w:rsidRDefault="002E347E" w:rsidP="002E347E">
      <w:pPr>
        <w:pStyle w:val="USTustnpkodeksu"/>
      </w:pPr>
    </w:p>
    <w:p w14:paraId="2495C913" w14:textId="77777777" w:rsidR="002E347E" w:rsidRDefault="002E347E" w:rsidP="002E347E">
      <w:pPr>
        <w:pStyle w:val="USTustnpkodeksu"/>
      </w:pPr>
    </w:p>
    <w:p w14:paraId="214FAAEE" w14:textId="77777777" w:rsidR="002E347E" w:rsidRDefault="002E347E" w:rsidP="002E347E">
      <w:pPr>
        <w:pStyle w:val="USTustnpkodeksu"/>
      </w:pPr>
    </w:p>
    <w:p w14:paraId="085D3BD0" w14:textId="77777777" w:rsidR="002E347E" w:rsidRDefault="002E347E" w:rsidP="002E347E">
      <w:pPr>
        <w:pStyle w:val="USTustnpkodeksu"/>
      </w:pPr>
    </w:p>
    <w:p w14:paraId="7BCC5BBF" w14:textId="77777777" w:rsidR="002E347E" w:rsidRDefault="002E347E" w:rsidP="002E347E">
      <w:pPr>
        <w:pStyle w:val="USTustnpkodeksu"/>
      </w:pPr>
    </w:p>
    <w:bookmarkEnd w:id="1"/>
    <w:p w14:paraId="69E8AFA3" w14:textId="77777777" w:rsidR="002E347E" w:rsidRPr="00F94B64" w:rsidRDefault="002E347E" w:rsidP="002E347E">
      <w:pPr>
        <w:pStyle w:val="USTustnpkodeksu"/>
      </w:pPr>
    </w:p>
    <w:p w14:paraId="1EA6E6CB" w14:textId="77777777" w:rsidR="002E347E" w:rsidRDefault="002E347E" w:rsidP="002E347E">
      <w:pPr>
        <w:rPr>
          <w:rFonts w:ascii="Arial" w:hAnsi="Arial" w:cs="Arial"/>
          <w:b/>
          <w:bCs/>
          <w:sz w:val="24"/>
        </w:rPr>
      </w:pPr>
    </w:p>
    <w:p w14:paraId="03F0C6C7" w14:textId="77777777" w:rsidR="002E347E" w:rsidRDefault="002E347E" w:rsidP="002E347E">
      <w:pPr>
        <w:rPr>
          <w:rFonts w:ascii="Arial" w:hAnsi="Arial" w:cs="Arial"/>
          <w:b/>
          <w:bCs/>
          <w:sz w:val="24"/>
        </w:rPr>
      </w:pPr>
    </w:p>
    <w:p w14:paraId="47066947" w14:textId="77777777" w:rsidR="002E347E" w:rsidRDefault="002E347E" w:rsidP="002E347E">
      <w:pPr>
        <w:rPr>
          <w:rFonts w:ascii="Arial" w:hAnsi="Arial" w:cs="Arial"/>
          <w:b/>
          <w:bCs/>
          <w:sz w:val="24"/>
        </w:rPr>
      </w:pPr>
    </w:p>
    <w:p w14:paraId="5C01B058" w14:textId="77777777" w:rsidR="002E347E" w:rsidRDefault="002E347E" w:rsidP="002E347E">
      <w:pPr>
        <w:rPr>
          <w:rFonts w:ascii="Arial" w:hAnsi="Arial" w:cs="Arial"/>
          <w:b/>
          <w:bCs/>
          <w:sz w:val="24"/>
        </w:rPr>
      </w:pPr>
    </w:p>
    <w:p w14:paraId="47D6FADB" w14:textId="77777777" w:rsidR="002E347E" w:rsidRDefault="002E347E" w:rsidP="002E347E">
      <w:pPr>
        <w:spacing w:after="0" w:line="240" w:lineRule="auto"/>
        <w:rPr>
          <w:rFonts w:ascii="Arial" w:hAnsi="Arial" w:cs="Arial"/>
          <w:b/>
          <w:bCs/>
          <w:sz w:val="24"/>
        </w:rPr>
      </w:pPr>
    </w:p>
    <w:p w14:paraId="1D628A10" w14:textId="77777777" w:rsidR="002E347E" w:rsidRDefault="002E347E" w:rsidP="002E347E">
      <w:pPr>
        <w:spacing w:after="0" w:line="240" w:lineRule="auto"/>
        <w:jc w:val="center"/>
        <w:rPr>
          <w:rFonts w:ascii="Arial" w:hAnsi="Arial" w:cs="Arial"/>
          <w:b/>
          <w:bCs/>
          <w:sz w:val="24"/>
        </w:rPr>
      </w:pPr>
      <w:r>
        <w:rPr>
          <w:rFonts w:ascii="Arial" w:hAnsi="Arial" w:cs="Arial"/>
          <w:b/>
          <w:bCs/>
          <w:sz w:val="24"/>
        </w:rPr>
        <w:t>DEKLAROWANE SKUTKI REGULACJI (DSR)</w:t>
      </w:r>
    </w:p>
    <w:p w14:paraId="68574DDE" w14:textId="77777777" w:rsidR="002E347E" w:rsidRDefault="002E347E" w:rsidP="002E347E">
      <w:pPr>
        <w:spacing w:after="0" w:line="240" w:lineRule="auto"/>
        <w:jc w:val="center"/>
        <w:rPr>
          <w:rFonts w:ascii="Arial" w:hAnsi="Arial" w:cs="Arial"/>
          <w:b/>
          <w:bCs/>
          <w:sz w:val="24"/>
        </w:rPr>
      </w:pPr>
      <w:r>
        <w:rPr>
          <w:rFonts w:ascii="Arial" w:hAnsi="Arial" w:cs="Arial"/>
          <w:b/>
          <w:bCs/>
          <w:sz w:val="24"/>
        </w:rPr>
        <w:t>projektu ustawy</w:t>
      </w:r>
    </w:p>
    <w:p w14:paraId="7853377B" w14:textId="77777777" w:rsidR="002E347E" w:rsidRDefault="002E347E" w:rsidP="002E347E">
      <w:pPr>
        <w:spacing w:after="0" w:line="240" w:lineRule="auto"/>
        <w:jc w:val="center"/>
        <w:rPr>
          <w:rFonts w:ascii="Arial" w:hAnsi="Arial" w:cs="Arial"/>
          <w:b/>
          <w:bCs/>
          <w:sz w:val="24"/>
        </w:rPr>
      </w:pPr>
    </w:p>
    <w:p w14:paraId="2B8450DD" w14:textId="77777777" w:rsidR="002E347E" w:rsidRDefault="002E347E" w:rsidP="002E347E">
      <w:pPr>
        <w:spacing w:after="0" w:line="240" w:lineRule="auto"/>
        <w:jc w:val="center"/>
        <w:rPr>
          <w:rFonts w:ascii="Arial" w:hAnsi="Arial" w:cs="Arial"/>
          <w:b/>
          <w:bCs/>
          <w:sz w:val="24"/>
        </w:rPr>
      </w:pPr>
    </w:p>
    <w:p w14:paraId="0E1EE669" w14:textId="77777777" w:rsidR="002E347E" w:rsidRDefault="002E347E" w:rsidP="002E347E">
      <w:pPr>
        <w:tabs>
          <w:tab w:val="left" w:pos="2834"/>
        </w:tabs>
        <w:spacing w:after="0" w:line="240" w:lineRule="auto"/>
        <w:rPr>
          <w:rFonts w:ascii="Arial" w:hAnsi="Arial" w:cs="Arial"/>
          <w:b/>
          <w:bCs/>
          <w:sz w:val="24"/>
        </w:rPr>
      </w:pPr>
      <w:r>
        <w:rPr>
          <w:rFonts w:ascii="Arial" w:hAnsi="Arial" w:cs="Arial"/>
          <w:b/>
          <w:bCs/>
          <w:sz w:val="24"/>
        </w:rPr>
        <w:tab/>
      </w:r>
    </w:p>
    <w:p w14:paraId="5279FF7E" w14:textId="77777777" w:rsidR="002E347E" w:rsidRPr="0017371E" w:rsidRDefault="002E347E" w:rsidP="002E347E">
      <w:pPr>
        <w:tabs>
          <w:tab w:val="left" w:pos="6290"/>
        </w:tabs>
        <w:jc w:val="both"/>
        <w:rPr>
          <w:rFonts w:ascii="Arial" w:hAnsi="Arial" w:cs="Arial"/>
          <w:b/>
          <w:bCs/>
          <w:sz w:val="24"/>
        </w:rPr>
      </w:pPr>
      <w:r>
        <w:rPr>
          <w:rFonts w:ascii="Arial" w:hAnsi="Arial" w:cs="Arial"/>
          <w:b/>
          <w:bCs/>
          <w:sz w:val="24"/>
        </w:rPr>
        <w:t>Informacja o projekcie</w:t>
      </w:r>
      <w:r>
        <w:rPr>
          <w:rFonts w:ascii="Arial" w:hAnsi="Arial" w:cs="Arial"/>
          <w:b/>
          <w:bCs/>
          <w:sz w:val="24"/>
        </w:rPr>
        <w:tab/>
      </w:r>
    </w:p>
    <w:p w14:paraId="2D4B6B34" w14:textId="77777777" w:rsidR="002E347E" w:rsidRPr="0017371E" w:rsidRDefault="002E347E" w:rsidP="002E347E">
      <w:pPr>
        <w:ind w:left="360"/>
        <w:jc w:val="both"/>
        <w:rPr>
          <w:rFonts w:ascii="Arial" w:hAnsi="Arial" w:cs="Arial"/>
          <w:sz w:val="24"/>
          <w:szCs w:val="24"/>
        </w:rPr>
      </w:pPr>
      <w:r w:rsidRPr="0017371E">
        <w:rPr>
          <w:rFonts w:ascii="Arial" w:hAnsi="Arial" w:cs="Arial"/>
          <w:sz w:val="24"/>
          <w:szCs w:val="24"/>
        </w:rPr>
        <w:t>a) Tytuł projektu</w:t>
      </w:r>
      <w:r>
        <w:rPr>
          <w:rFonts w:ascii="Arial" w:hAnsi="Arial" w:cs="Arial"/>
          <w:sz w:val="24"/>
          <w:szCs w:val="24"/>
        </w:rPr>
        <w:t>:</w:t>
      </w:r>
    </w:p>
    <w:tbl>
      <w:tblPr>
        <w:tblStyle w:val="Tabela-Siatka"/>
        <w:tblW w:w="9182" w:type="dxa"/>
        <w:tblLook w:val="04A0" w:firstRow="1" w:lastRow="0" w:firstColumn="1" w:lastColumn="0" w:noHBand="0" w:noVBand="1"/>
      </w:tblPr>
      <w:tblGrid>
        <w:gridCol w:w="9182"/>
      </w:tblGrid>
      <w:tr w:rsidR="002E347E" w14:paraId="1C0C5EBC" w14:textId="77777777" w:rsidTr="00126751">
        <w:trPr>
          <w:trHeight w:val="410"/>
        </w:trPr>
        <w:tc>
          <w:tcPr>
            <w:tcW w:w="9182" w:type="dxa"/>
          </w:tcPr>
          <w:p w14:paraId="415C68FB" w14:textId="77777777" w:rsidR="002E347E" w:rsidRDefault="002E347E" w:rsidP="00126751">
            <w:pPr>
              <w:ind w:left="360"/>
              <w:jc w:val="both"/>
              <w:rPr>
                <w:rFonts w:ascii="Arial" w:hAnsi="Arial" w:cs="Arial"/>
                <w:sz w:val="20"/>
                <w:szCs w:val="20"/>
              </w:rPr>
            </w:pPr>
            <w:bookmarkStart w:id="3" w:name="_Hlk174516121"/>
          </w:p>
          <w:p w14:paraId="11343CC7" w14:textId="77777777" w:rsidR="002E347E" w:rsidRPr="00980651" w:rsidRDefault="002E347E" w:rsidP="00126751">
            <w:pPr>
              <w:pStyle w:val="TYTUAKTUprzedmiotregulacjiustawylubrozporzdzenia"/>
              <w:rPr>
                <w:rFonts w:ascii="Arial" w:eastAsia="Times New Roman" w:hAnsi="Arial"/>
                <w:color w:val="808080" w:themeColor="background1" w:themeShade="80"/>
                <w:sz w:val="22"/>
                <w:szCs w:val="22"/>
              </w:rPr>
            </w:pPr>
            <w:r w:rsidRPr="00980651">
              <w:rPr>
                <w:sz w:val="22"/>
                <w:szCs w:val="22"/>
              </w:rPr>
              <w:t>o zmianie ustawy – Prawo geodezyjne i kartograficzne</w:t>
            </w:r>
          </w:p>
        </w:tc>
      </w:tr>
      <w:bookmarkEnd w:id="3"/>
    </w:tbl>
    <w:p w14:paraId="219B0DDE" w14:textId="77777777" w:rsidR="002E347E" w:rsidRDefault="002E347E" w:rsidP="002E347E">
      <w:pPr>
        <w:jc w:val="both"/>
        <w:rPr>
          <w:rFonts w:ascii="Arial" w:hAnsi="Arial" w:cs="Arial"/>
          <w:b/>
          <w:bCs/>
          <w:sz w:val="24"/>
        </w:rPr>
      </w:pPr>
    </w:p>
    <w:p w14:paraId="546FC0A2" w14:textId="77777777" w:rsidR="002E347E" w:rsidRPr="0017371E" w:rsidRDefault="002E347E" w:rsidP="002E347E">
      <w:pPr>
        <w:ind w:left="360"/>
        <w:jc w:val="both"/>
        <w:rPr>
          <w:rFonts w:ascii="Arial" w:eastAsia="Times New Roman" w:hAnsi="Arial" w:cs="Arial"/>
          <w:sz w:val="24"/>
          <w:szCs w:val="24"/>
          <w14:ligatures w14:val="none"/>
        </w:rPr>
      </w:pPr>
      <w:r w:rsidRPr="0017371E">
        <w:rPr>
          <w:rFonts w:ascii="Arial" w:eastAsia="Times New Roman" w:hAnsi="Arial" w:cs="Arial"/>
          <w:sz w:val="24"/>
          <w:szCs w:val="24"/>
          <w14:ligatures w14:val="none"/>
        </w:rPr>
        <w:t>b) Przedstawiciel wnioskodawcy</w:t>
      </w:r>
      <w:r>
        <w:rPr>
          <w:rFonts w:ascii="Arial" w:eastAsia="Times New Roman" w:hAnsi="Arial" w:cs="Arial"/>
          <w:sz w:val="24"/>
          <w:szCs w:val="24"/>
          <w14:ligatures w14:val="none"/>
        </w:rPr>
        <w:t>:</w:t>
      </w:r>
    </w:p>
    <w:tbl>
      <w:tblPr>
        <w:tblStyle w:val="Tabela-Siatka"/>
        <w:tblW w:w="9209" w:type="dxa"/>
        <w:tblLook w:val="04A0" w:firstRow="1" w:lastRow="0" w:firstColumn="1" w:lastColumn="0" w:noHBand="0" w:noVBand="1"/>
      </w:tblPr>
      <w:tblGrid>
        <w:gridCol w:w="9209"/>
      </w:tblGrid>
      <w:tr w:rsidR="002E347E" w14:paraId="0FD5EF35" w14:textId="77777777" w:rsidTr="00126751">
        <w:trPr>
          <w:trHeight w:val="671"/>
        </w:trPr>
        <w:tc>
          <w:tcPr>
            <w:tcW w:w="9209" w:type="dxa"/>
          </w:tcPr>
          <w:p w14:paraId="5E3DEF86" w14:textId="77777777" w:rsidR="002E347E" w:rsidRDefault="002E347E" w:rsidP="00126751">
            <w:pPr>
              <w:ind w:left="360"/>
              <w:jc w:val="both"/>
              <w:rPr>
                <w:rFonts w:ascii="Arial" w:hAnsi="Arial" w:cs="Arial"/>
                <w:sz w:val="20"/>
                <w:szCs w:val="20"/>
              </w:rPr>
            </w:pPr>
          </w:p>
          <w:p w14:paraId="091ADE5F" w14:textId="77777777" w:rsidR="002E347E" w:rsidRPr="00C90C61" w:rsidRDefault="002E347E" w:rsidP="00126751">
            <w:pPr>
              <w:ind w:left="360"/>
              <w:jc w:val="both"/>
              <w:rPr>
                <w:rFonts w:ascii="Arial" w:eastAsia="Times New Roman" w:hAnsi="Arial" w:cs="Arial"/>
                <w:sz w:val="20"/>
                <w:szCs w:val="20"/>
                <w14:ligatures w14:val="none"/>
              </w:rPr>
            </w:pPr>
            <w:r>
              <w:rPr>
                <w:rFonts w:ascii="Arial" w:eastAsia="Times New Roman" w:hAnsi="Arial" w:cs="Arial"/>
                <w:sz w:val="20"/>
                <w:szCs w:val="20"/>
                <w14:ligatures w14:val="none"/>
              </w:rPr>
              <w:t>Pan poseł Kamil Wnuk</w:t>
            </w:r>
          </w:p>
          <w:p w14:paraId="66D18B32" w14:textId="77777777" w:rsidR="002E347E" w:rsidRPr="002C6016" w:rsidRDefault="002E347E" w:rsidP="00126751">
            <w:pPr>
              <w:jc w:val="both"/>
              <w:rPr>
                <w:rFonts w:ascii="Arial" w:eastAsia="Times New Roman" w:hAnsi="Arial" w:cs="Arial"/>
                <w:color w:val="808080" w:themeColor="background1" w:themeShade="80"/>
                <w:sz w:val="20"/>
                <w:szCs w:val="20"/>
                <w14:ligatures w14:val="none"/>
              </w:rPr>
            </w:pPr>
          </w:p>
        </w:tc>
      </w:tr>
    </w:tbl>
    <w:p w14:paraId="1D468944" w14:textId="77777777" w:rsidR="002E347E" w:rsidRDefault="002E347E" w:rsidP="002E347E">
      <w:pPr>
        <w:jc w:val="both"/>
        <w:rPr>
          <w:rFonts w:ascii="Arial" w:hAnsi="Arial" w:cs="Arial"/>
          <w:b/>
          <w:bCs/>
          <w:sz w:val="24"/>
        </w:rPr>
      </w:pPr>
    </w:p>
    <w:p w14:paraId="360CB458" w14:textId="77777777" w:rsidR="002E347E" w:rsidRPr="009C37AF" w:rsidRDefault="002E347E" w:rsidP="002E347E">
      <w:pPr>
        <w:rPr>
          <w:rFonts w:ascii="Arial" w:hAnsi="Arial" w:cs="Arial"/>
          <w:b/>
          <w:bCs/>
          <w:sz w:val="24"/>
        </w:rPr>
      </w:pPr>
    </w:p>
    <w:p w14:paraId="206F681E" w14:textId="77777777" w:rsidR="002E347E" w:rsidRDefault="002E347E" w:rsidP="002E347E">
      <w:pPr>
        <w:rPr>
          <w:rFonts w:ascii="Arial" w:hAnsi="Arial" w:cs="Arial"/>
          <w:sz w:val="24"/>
        </w:rPr>
      </w:pPr>
      <w:r w:rsidRPr="009C37AF">
        <w:rPr>
          <w:rFonts w:ascii="Arial" w:hAnsi="Arial" w:cs="Arial"/>
          <w:b/>
          <w:sz w:val="24"/>
        </w:rPr>
        <w:t xml:space="preserve">I. </w:t>
      </w:r>
      <w:r>
        <w:rPr>
          <w:rFonts w:ascii="Arial" w:hAnsi="Arial" w:cs="Arial"/>
          <w:b/>
          <w:sz w:val="24"/>
        </w:rPr>
        <w:t>Część wstępna</w:t>
      </w:r>
    </w:p>
    <w:p w14:paraId="6CF9F9B3" w14:textId="77777777" w:rsidR="002E347E" w:rsidRDefault="002E347E" w:rsidP="002E347E">
      <w:pPr>
        <w:jc w:val="both"/>
        <w:rPr>
          <w:rFonts w:ascii="Arial" w:hAnsi="Arial" w:cs="Arial"/>
          <w:sz w:val="24"/>
        </w:rPr>
      </w:pPr>
      <w:r w:rsidRPr="009C37AF">
        <w:rPr>
          <w:rFonts w:ascii="Arial" w:hAnsi="Arial" w:cs="Arial"/>
          <w:sz w:val="24"/>
        </w:rPr>
        <w:t xml:space="preserve">[1] </w:t>
      </w:r>
      <w:r>
        <w:rPr>
          <w:rFonts w:ascii="Arial" w:hAnsi="Arial" w:cs="Arial"/>
          <w:sz w:val="24"/>
        </w:rPr>
        <w:t>Zwięzły o</w:t>
      </w:r>
      <w:r w:rsidRPr="009C37AF">
        <w:rPr>
          <w:rFonts w:ascii="Arial" w:hAnsi="Arial" w:cs="Arial"/>
          <w:sz w:val="24"/>
        </w:rPr>
        <w:t xml:space="preserve">pis </w:t>
      </w:r>
      <w:r>
        <w:rPr>
          <w:rFonts w:ascii="Arial" w:hAnsi="Arial" w:cs="Arial"/>
          <w:sz w:val="24"/>
        </w:rPr>
        <w:t xml:space="preserve">zidentyfikowanego problemu i </w:t>
      </w:r>
      <w:r w:rsidRPr="009C37AF">
        <w:rPr>
          <w:rFonts w:ascii="Arial" w:hAnsi="Arial" w:cs="Arial"/>
          <w:sz w:val="24"/>
        </w:rPr>
        <w:t>proponowanych rozwiązań</w:t>
      </w:r>
      <w:r>
        <w:rPr>
          <w:rFonts w:ascii="Arial" w:hAnsi="Arial" w:cs="Arial"/>
          <w:sz w:val="24"/>
        </w:rPr>
        <w:t>.</w:t>
      </w:r>
    </w:p>
    <w:tbl>
      <w:tblPr>
        <w:tblStyle w:val="Tabela-Siatka"/>
        <w:tblW w:w="0" w:type="auto"/>
        <w:tblLook w:val="04A0" w:firstRow="1" w:lastRow="0" w:firstColumn="1" w:lastColumn="0" w:noHBand="0" w:noVBand="1"/>
      </w:tblPr>
      <w:tblGrid>
        <w:gridCol w:w="9060"/>
      </w:tblGrid>
      <w:tr w:rsidR="002E347E" w14:paraId="3701EFFF" w14:textId="77777777" w:rsidTr="00126751">
        <w:tc>
          <w:tcPr>
            <w:tcW w:w="9062" w:type="dxa"/>
          </w:tcPr>
          <w:p w14:paraId="4CED27B6" w14:textId="77777777" w:rsidR="002E347E" w:rsidRDefault="002E347E" w:rsidP="00126751">
            <w:pPr>
              <w:jc w:val="both"/>
              <w:rPr>
                <w:rFonts w:ascii="Arial" w:hAnsi="Arial" w:cs="Arial"/>
              </w:rPr>
            </w:pPr>
          </w:p>
          <w:p w14:paraId="4119494F" w14:textId="77777777" w:rsidR="002E347E" w:rsidRDefault="002E347E" w:rsidP="00126751">
            <w:pPr>
              <w:jc w:val="both"/>
              <w:rPr>
                <w:rFonts w:ascii="Arial" w:hAnsi="Arial" w:cs="Arial"/>
              </w:rPr>
            </w:pPr>
            <w:bookmarkStart w:id="4" w:name="_Hlk189164787"/>
            <w:r w:rsidRPr="00401431">
              <w:rPr>
                <w:rFonts w:ascii="Arial" w:hAnsi="Arial" w:cs="Arial"/>
              </w:rPr>
              <w:t>Rejestr cen nieruchomości (dalej "RCN") prowadzony na podstawie przepisów ustawy z dnia 17 maja 1989 r. – Prawo geodezyjne i kartograficzne zawiera</w:t>
            </w:r>
            <w:r>
              <w:rPr>
                <w:rFonts w:ascii="Arial" w:hAnsi="Arial" w:cs="Arial"/>
              </w:rPr>
              <w:t>jący</w:t>
            </w:r>
            <w:r w:rsidRPr="00401431">
              <w:rPr>
                <w:rFonts w:ascii="Arial" w:hAnsi="Arial" w:cs="Arial"/>
              </w:rPr>
              <w:t xml:space="preserve"> wiele istotnych danych z punktu widzeniem funkcjonowania rynku cen nieruchomości</w:t>
            </w:r>
            <w:r>
              <w:rPr>
                <w:rFonts w:ascii="Arial" w:hAnsi="Arial" w:cs="Arial"/>
              </w:rPr>
              <w:t>, a także potrzeb obywateli z zaspokajaniem potrzeb mieszkaniowych nie jest wykorzystywany w sposób adekwatny do korzyści jakie wynikają z upublicznienia danych w nim zawartych.</w:t>
            </w:r>
          </w:p>
          <w:p w14:paraId="021E2D86" w14:textId="77777777" w:rsidR="002E347E" w:rsidRDefault="002E347E" w:rsidP="00126751">
            <w:pPr>
              <w:jc w:val="both"/>
              <w:rPr>
                <w:rFonts w:ascii="Arial" w:hAnsi="Arial" w:cs="Arial"/>
              </w:rPr>
            </w:pPr>
            <w:r>
              <w:rPr>
                <w:rFonts w:ascii="Arial" w:hAnsi="Arial" w:cs="Arial"/>
              </w:rPr>
              <w:t xml:space="preserve">Obecnie dostęp do danych RCN następuje za odpłatnością dla wszystkich podmiotów, które składają wniosek o dane z RCN. Jest to niespójne z zasadą ogólnej dostępności danych zawartych w RCN, tym bardziej, że dane te udostępniane są już teraz w powszechnie dostępnej rządowej platformie geoportal.gov.pl </w:t>
            </w:r>
          </w:p>
          <w:p w14:paraId="5AC52EA4" w14:textId="77777777" w:rsidR="002E347E" w:rsidRDefault="002E347E" w:rsidP="00126751">
            <w:pPr>
              <w:jc w:val="both"/>
              <w:rPr>
                <w:rFonts w:ascii="Arial" w:hAnsi="Arial" w:cs="Arial"/>
              </w:rPr>
            </w:pPr>
            <w:r>
              <w:rPr>
                <w:rFonts w:ascii="Arial" w:eastAsia="Times New Roman" w:hAnsi="Arial" w:cs="Arial"/>
                <w14:ligatures w14:val="none"/>
              </w:rPr>
              <w:t>Poszczególne starostwa powiatowe stosują różne zasady dostępu do RCN dla obywateli. Swobodne u</w:t>
            </w:r>
            <w:r w:rsidRPr="00AF0302">
              <w:rPr>
                <w:rFonts w:ascii="Arial" w:eastAsia="Times New Roman" w:hAnsi="Arial" w:cs="Arial"/>
                <w14:ligatures w14:val="none"/>
              </w:rPr>
              <w:t>zyskiwanie informacji o faktycznych cenach</w:t>
            </w:r>
            <w:r>
              <w:rPr>
                <w:rFonts w:ascii="Arial" w:eastAsia="Times New Roman" w:hAnsi="Arial" w:cs="Arial"/>
                <w14:ligatures w14:val="none"/>
              </w:rPr>
              <w:t xml:space="preserve"> sprzedaży</w:t>
            </w:r>
            <w:r w:rsidRPr="00AF0302">
              <w:rPr>
                <w:rFonts w:ascii="Arial" w:eastAsia="Times New Roman" w:hAnsi="Arial" w:cs="Arial"/>
                <w14:ligatures w14:val="none"/>
              </w:rPr>
              <w:t xml:space="preserve"> </w:t>
            </w:r>
            <w:r>
              <w:rPr>
                <w:rFonts w:ascii="Arial" w:eastAsia="Times New Roman" w:hAnsi="Arial" w:cs="Arial"/>
                <w14:ligatures w14:val="none"/>
              </w:rPr>
              <w:t xml:space="preserve">np. uzyskiwanych </w:t>
            </w:r>
            <w:r w:rsidRPr="00AF0302">
              <w:rPr>
                <w:rFonts w:ascii="Arial" w:eastAsia="Times New Roman" w:hAnsi="Arial" w:cs="Arial"/>
                <w14:ligatures w14:val="none"/>
              </w:rPr>
              <w:t xml:space="preserve">przez deweloperów </w:t>
            </w:r>
            <w:r w:rsidRPr="00AF0302">
              <w:rPr>
                <w:rFonts w:ascii="Arial" w:hAnsi="Arial" w:cs="Arial"/>
              </w:rPr>
              <w:t>jest utrudnione</w:t>
            </w:r>
            <w:r>
              <w:rPr>
                <w:rFonts w:ascii="Arial" w:hAnsi="Arial" w:cs="Arial"/>
              </w:rPr>
              <w:t xml:space="preserve"> i może prowadzić do manipulacji cenami.</w:t>
            </w:r>
          </w:p>
          <w:p w14:paraId="599B35ED" w14:textId="77777777" w:rsidR="002E347E" w:rsidRDefault="002E347E" w:rsidP="00126751">
            <w:pPr>
              <w:jc w:val="both"/>
              <w:rPr>
                <w:rFonts w:ascii="Arial" w:hAnsi="Arial" w:cs="Arial"/>
              </w:rPr>
            </w:pPr>
          </w:p>
          <w:p w14:paraId="3270A89B" w14:textId="77777777" w:rsidR="002E347E" w:rsidRDefault="002E347E" w:rsidP="00126751">
            <w:pPr>
              <w:jc w:val="both"/>
              <w:rPr>
                <w:rFonts w:ascii="Arial" w:hAnsi="Arial" w:cs="Arial"/>
              </w:rPr>
            </w:pPr>
            <w:r>
              <w:rPr>
                <w:rFonts w:ascii="Arial" w:hAnsi="Arial" w:cs="Arial"/>
              </w:rPr>
              <w:t>Projekt przewiduje zniesienie odpłatności za dostęp danych z RCN.</w:t>
            </w:r>
          </w:p>
          <w:p w14:paraId="2700FE2E" w14:textId="77777777" w:rsidR="002E347E" w:rsidRPr="00AF0302" w:rsidRDefault="002E347E" w:rsidP="00126751">
            <w:pPr>
              <w:jc w:val="both"/>
              <w:rPr>
                <w:rFonts w:ascii="Arial" w:hAnsi="Arial" w:cs="Arial"/>
              </w:rPr>
            </w:pPr>
          </w:p>
          <w:p w14:paraId="6C23E334" w14:textId="77777777" w:rsidR="002E347E" w:rsidRDefault="002E347E" w:rsidP="00126751">
            <w:pPr>
              <w:jc w:val="both"/>
              <w:rPr>
                <w:rFonts w:ascii="Arial" w:hAnsi="Arial" w:cs="Arial"/>
              </w:rPr>
            </w:pPr>
            <w:r>
              <w:rPr>
                <w:rFonts w:ascii="Arial" w:hAnsi="Arial" w:cs="Arial"/>
              </w:rPr>
              <w:t>Brak regulacji w proponowanym zakresie utrzyma stan niekorzystny z punktu widzenia obywateli, którzy niezależnie od pokonania bariery biurokratycznej złożenia wniosku muszą ponosić opłaty za dostęp do danych zbieranych i agregowanych przez organy administracji publicznej i są zmuszeni do korzystana z komercyjnych źródeł raportów o interesujących ich cenach transakcyjnych nieruchomości.</w:t>
            </w:r>
          </w:p>
          <w:p w14:paraId="37D04072" w14:textId="77777777" w:rsidR="002E347E" w:rsidRPr="0038406F" w:rsidRDefault="002E347E" w:rsidP="00126751">
            <w:pPr>
              <w:jc w:val="both"/>
              <w:rPr>
                <w:rFonts w:ascii="Arial" w:hAnsi="Arial" w:cs="Arial"/>
              </w:rPr>
            </w:pPr>
            <w:r>
              <w:rPr>
                <w:rFonts w:ascii="Arial" w:hAnsi="Arial" w:cs="Arial"/>
              </w:rPr>
              <w:t>Zaproponowane rozwiązanie docelowo skutkować powinno przeniesieniem wszystkich publicznych danych z RCN do geoportalu.gov.pl zapewniającego szybkie uzyskiwanie wiarygodnych danych, koniecznych do podejmowania ważnych życiowych decyzji.</w:t>
            </w:r>
          </w:p>
          <w:bookmarkEnd w:id="4"/>
          <w:p w14:paraId="4B45274F" w14:textId="77777777" w:rsidR="002E347E" w:rsidRPr="00C92FA0" w:rsidRDefault="002E347E" w:rsidP="00126751">
            <w:pPr>
              <w:pStyle w:val="Akapitzlist"/>
              <w:jc w:val="both"/>
              <w:rPr>
                <w:rFonts w:ascii="Arial" w:eastAsia="Times New Roman" w:hAnsi="Arial" w:cs="Arial"/>
                <w:color w:val="808080" w:themeColor="background1" w:themeShade="80"/>
                <w:sz w:val="20"/>
                <w:szCs w:val="20"/>
                <w14:ligatures w14:val="none"/>
              </w:rPr>
            </w:pPr>
          </w:p>
        </w:tc>
      </w:tr>
    </w:tbl>
    <w:p w14:paraId="6060CB7F" w14:textId="77777777" w:rsidR="002E347E" w:rsidRPr="009C37AF" w:rsidRDefault="002E347E" w:rsidP="002E347E">
      <w:pPr>
        <w:jc w:val="both"/>
        <w:rPr>
          <w:rFonts w:ascii="Arial" w:hAnsi="Arial" w:cs="Arial"/>
          <w:sz w:val="24"/>
        </w:rPr>
      </w:pPr>
    </w:p>
    <w:p w14:paraId="7C6BBA60" w14:textId="77777777" w:rsidR="002E347E" w:rsidRPr="009C37AF" w:rsidRDefault="002E347E" w:rsidP="002E347E">
      <w:pPr>
        <w:jc w:val="both"/>
        <w:rPr>
          <w:rFonts w:ascii="Arial" w:hAnsi="Arial" w:cs="Arial"/>
          <w:sz w:val="24"/>
        </w:rPr>
      </w:pPr>
      <w:r w:rsidRPr="009C37AF">
        <w:rPr>
          <w:rFonts w:ascii="Arial" w:hAnsi="Arial" w:cs="Arial"/>
          <w:sz w:val="24"/>
        </w:rPr>
        <w:t>[2] Czy były rozważane rozwiązania alternatywne?</w:t>
      </w:r>
    </w:p>
    <w:p w14:paraId="4BD9DCA6" w14:textId="77777777" w:rsidR="002E347E" w:rsidRPr="00AA5FA8" w:rsidRDefault="002E347E" w:rsidP="002E347E">
      <w:pPr>
        <w:pStyle w:val="Akapitzlist"/>
        <w:numPr>
          <w:ilvl w:val="0"/>
          <w:numId w:val="1"/>
        </w:numPr>
        <w:spacing w:line="240" w:lineRule="auto"/>
        <w:jc w:val="both"/>
        <w:rPr>
          <w:rFonts w:ascii="Arial" w:hAnsi="Arial" w:cs="Arial"/>
          <w:sz w:val="24"/>
        </w:rPr>
      </w:pPr>
      <w:r w:rsidRPr="00AA5FA8">
        <w:rPr>
          <w:rFonts w:ascii="Arial" w:hAnsi="Arial" w:cs="Arial"/>
          <w:sz w:val="24"/>
        </w:rPr>
        <w:t>Nie</w:t>
      </w:r>
    </w:p>
    <w:tbl>
      <w:tblPr>
        <w:tblStyle w:val="Tabela-Siatka"/>
        <w:tblW w:w="0" w:type="auto"/>
        <w:tblLook w:val="04A0" w:firstRow="1" w:lastRow="0" w:firstColumn="1" w:lastColumn="0" w:noHBand="0" w:noVBand="1"/>
      </w:tblPr>
      <w:tblGrid>
        <w:gridCol w:w="9060"/>
      </w:tblGrid>
      <w:tr w:rsidR="002E347E" w14:paraId="5DDA7DEF" w14:textId="77777777" w:rsidTr="00126751">
        <w:tc>
          <w:tcPr>
            <w:tcW w:w="9062" w:type="dxa"/>
          </w:tcPr>
          <w:p w14:paraId="7FF2BC2B" w14:textId="77777777" w:rsidR="002E347E" w:rsidRDefault="002E347E" w:rsidP="00126751">
            <w:pPr>
              <w:jc w:val="both"/>
              <w:rPr>
                <w:rFonts w:ascii="Arial" w:hAnsi="Arial" w:cs="Arial"/>
              </w:rPr>
            </w:pPr>
            <w:bookmarkStart w:id="5" w:name="_Hlk174441549"/>
          </w:p>
          <w:p w14:paraId="1E29C518" w14:textId="77777777" w:rsidR="002E347E" w:rsidRDefault="002E347E" w:rsidP="00126751">
            <w:pPr>
              <w:jc w:val="both"/>
              <w:rPr>
                <w:rFonts w:ascii="Arial" w:hAnsi="Arial" w:cs="Arial"/>
              </w:rPr>
            </w:pPr>
            <w:r>
              <w:rPr>
                <w:rFonts w:ascii="Arial" w:hAnsi="Arial" w:cs="Arial"/>
              </w:rPr>
              <w:t>N</w:t>
            </w:r>
            <w:r w:rsidRPr="0093667D">
              <w:rPr>
                <w:rFonts w:ascii="Arial" w:hAnsi="Arial" w:cs="Arial"/>
              </w:rPr>
              <w:t>ie rozważano rozwiązań alternatywnych ze względu na to</w:t>
            </w:r>
            <w:r>
              <w:rPr>
                <w:rFonts w:ascii="Arial" w:hAnsi="Arial" w:cs="Arial"/>
              </w:rPr>
              <w:t>,</w:t>
            </w:r>
            <w:r w:rsidRPr="0093667D">
              <w:rPr>
                <w:rFonts w:ascii="Arial" w:hAnsi="Arial" w:cs="Arial"/>
              </w:rPr>
              <w:t xml:space="preserve"> że zakładany cel w projekcie można uz</w:t>
            </w:r>
            <w:r>
              <w:rPr>
                <w:rFonts w:ascii="Arial" w:hAnsi="Arial" w:cs="Arial"/>
              </w:rPr>
              <w:t>y</w:t>
            </w:r>
            <w:r w:rsidRPr="0093667D">
              <w:rPr>
                <w:rFonts w:ascii="Arial" w:hAnsi="Arial" w:cs="Arial"/>
              </w:rPr>
              <w:t xml:space="preserve">skać jedynie przez zmianę przepisów ustawowych. </w:t>
            </w:r>
          </w:p>
          <w:p w14:paraId="437AECC8" w14:textId="77777777" w:rsidR="002E347E" w:rsidRPr="0093667D" w:rsidRDefault="002E347E" w:rsidP="00126751">
            <w:pPr>
              <w:jc w:val="both"/>
              <w:rPr>
                <w:rFonts w:ascii="Arial" w:eastAsia="Times New Roman" w:hAnsi="Arial" w:cs="Arial"/>
                <w14:ligatures w14:val="none"/>
              </w:rPr>
            </w:pPr>
          </w:p>
        </w:tc>
      </w:tr>
      <w:bookmarkEnd w:id="5"/>
    </w:tbl>
    <w:p w14:paraId="221E2C64" w14:textId="77777777" w:rsidR="002E347E" w:rsidRDefault="002E347E" w:rsidP="002E347E">
      <w:pPr>
        <w:rPr>
          <w:rFonts w:ascii="Arial" w:hAnsi="Arial" w:cs="Arial"/>
          <w:b/>
          <w:sz w:val="24"/>
        </w:rPr>
      </w:pPr>
    </w:p>
    <w:p w14:paraId="7A99C7C0" w14:textId="77777777" w:rsidR="002E347E" w:rsidRDefault="002E347E" w:rsidP="002E347E">
      <w:pPr>
        <w:rPr>
          <w:rFonts w:ascii="Arial" w:hAnsi="Arial" w:cs="Arial"/>
          <w:sz w:val="24"/>
        </w:rPr>
      </w:pPr>
      <w:r w:rsidRPr="009C37AF">
        <w:rPr>
          <w:rFonts w:ascii="Arial" w:hAnsi="Arial" w:cs="Arial"/>
          <w:b/>
          <w:sz w:val="24"/>
        </w:rPr>
        <w:t xml:space="preserve">II. </w:t>
      </w:r>
      <w:r>
        <w:rPr>
          <w:rFonts w:ascii="Arial" w:hAnsi="Arial" w:cs="Arial"/>
          <w:b/>
          <w:sz w:val="24"/>
        </w:rPr>
        <w:t>Wymogi określone w art. 34 ust. 2 pkt 3–5 regulaminu Sejmu</w:t>
      </w:r>
    </w:p>
    <w:p w14:paraId="7890FF44" w14:textId="77777777" w:rsidR="002E347E" w:rsidRDefault="002E347E" w:rsidP="002E347E">
      <w:pPr>
        <w:jc w:val="both"/>
        <w:rPr>
          <w:rFonts w:ascii="Arial" w:hAnsi="Arial" w:cs="Arial"/>
          <w:sz w:val="24"/>
        </w:rPr>
      </w:pPr>
      <w:r w:rsidRPr="009C37AF">
        <w:rPr>
          <w:rFonts w:ascii="Arial" w:hAnsi="Arial" w:cs="Arial"/>
          <w:sz w:val="24"/>
        </w:rPr>
        <w:t xml:space="preserve">[3] Jakie są </w:t>
      </w:r>
      <w:r>
        <w:rPr>
          <w:rFonts w:ascii="Arial" w:hAnsi="Arial" w:cs="Arial"/>
          <w:sz w:val="24"/>
        </w:rPr>
        <w:t>przewidywane</w:t>
      </w:r>
      <w:r w:rsidRPr="009C37AF">
        <w:rPr>
          <w:rFonts w:ascii="Arial" w:hAnsi="Arial" w:cs="Arial"/>
          <w:sz w:val="24"/>
        </w:rPr>
        <w:t xml:space="preserve"> skutki prawne projektowanych rozwiązań?</w:t>
      </w:r>
    </w:p>
    <w:tbl>
      <w:tblPr>
        <w:tblStyle w:val="Tabela-Siatka"/>
        <w:tblW w:w="0" w:type="auto"/>
        <w:tblLook w:val="04A0" w:firstRow="1" w:lastRow="0" w:firstColumn="1" w:lastColumn="0" w:noHBand="0" w:noVBand="1"/>
      </w:tblPr>
      <w:tblGrid>
        <w:gridCol w:w="9060"/>
      </w:tblGrid>
      <w:tr w:rsidR="002E347E" w14:paraId="68773705" w14:textId="77777777" w:rsidTr="00126751">
        <w:tc>
          <w:tcPr>
            <w:tcW w:w="9062" w:type="dxa"/>
          </w:tcPr>
          <w:p w14:paraId="6D9DD0E8" w14:textId="77777777" w:rsidR="002E347E" w:rsidRPr="00554E0D" w:rsidRDefault="002E347E" w:rsidP="00126751">
            <w:pPr>
              <w:jc w:val="both"/>
              <w:rPr>
                <w:rFonts w:ascii="Arial" w:eastAsia="Times New Roman" w:hAnsi="Arial" w:cs="Arial"/>
                <w14:ligatures w14:val="none"/>
              </w:rPr>
            </w:pPr>
          </w:p>
          <w:p w14:paraId="5A644233" w14:textId="77777777" w:rsidR="002E347E" w:rsidRDefault="002E347E" w:rsidP="00126751">
            <w:pPr>
              <w:jc w:val="both"/>
              <w:rPr>
                <w:rFonts w:ascii="Arial" w:eastAsia="Times New Roman" w:hAnsi="Arial" w:cs="Arial"/>
                <w14:ligatures w14:val="none"/>
              </w:rPr>
            </w:pPr>
            <w:r>
              <w:rPr>
                <w:rFonts w:ascii="Arial" w:eastAsia="Times New Roman" w:hAnsi="Arial" w:cs="Arial"/>
                <w14:ligatures w14:val="none"/>
              </w:rPr>
              <w:t>Projekt przewiduje uchylenie przepisów Prawa geodezyjnego i kartograficznego ustanawiających podstawę prawną do pobierania opłat za dostęp do danych RCN przez</w:t>
            </w:r>
            <w:r w:rsidRPr="00BA2EC6">
              <w:rPr>
                <w:rFonts w:ascii="Arial" w:eastAsia="Times New Roman" w:hAnsi="Arial" w:cs="Arial"/>
                <w14:ligatures w14:val="none"/>
              </w:rPr>
              <w:t xml:space="preserve"> </w:t>
            </w:r>
            <w:r>
              <w:rPr>
                <w:rFonts w:ascii="Arial" w:eastAsia="Times New Roman" w:hAnsi="Arial" w:cs="Arial"/>
                <w14:ligatures w14:val="none"/>
              </w:rPr>
              <w:t>o</w:t>
            </w:r>
            <w:r w:rsidRPr="00BA2EC6">
              <w:rPr>
                <w:rFonts w:ascii="Arial" w:eastAsia="Times New Roman" w:hAnsi="Arial" w:cs="Arial"/>
                <w14:ligatures w14:val="none"/>
              </w:rPr>
              <w:t>rgany prowadzące państwowy zasób geodezyjny i kartograficzny</w:t>
            </w:r>
            <w:r>
              <w:rPr>
                <w:rFonts w:ascii="Arial" w:eastAsia="Times New Roman" w:hAnsi="Arial" w:cs="Arial"/>
                <w14:ligatures w14:val="none"/>
              </w:rPr>
              <w:t>.</w:t>
            </w:r>
          </w:p>
          <w:p w14:paraId="534C8A59" w14:textId="77777777" w:rsidR="002E347E" w:rsidRDefault="002E347E" w:rsidP="00126751">
            <w:pPr>
              <w:jc w:val="both"/>
              <w:rPr>
                <w:rFonts w:ascii="Arial" w:eastAsia="Times New Roman" w:hAnsi="Arial" w:cs="Arial"/>
                <w14:ligatures w14:val="none"/>
              </w:rPr>
            </w:pPr>
          </w:p>
          <w:p w14:paraId="3A6460C8" w14:textId="77777777" w:rsidR="002E347E" w:rsidRDefault="002E347E" w:rsidP="00126751">
            <w:pPr>
              <w:jc w:val="both"/>
              <w:rPr>
                <w:rFonts w:ascii="Arial" w:eastAsia="Times New Roman" w:hAnsi="Arial" w:cs="Arial"/>
                <w14:ligatures w14:val="none"/>
              </w:rPr>
            </w:pPr>
            <w:r>
              <w:rPr>
                <w:rFonts w:ascii="Arial" w:eastAsia="Times New Roman" w:hAnsi="Arial" w:cs="Arial"/>
                <w14:ligatures w14:val="none"/>
              </w:rPr>
              <w:t xml:space="preserve">Skutkiem prawnym będzie wprowadzenie całkowitej nieodpłatności za dane RCN. </w:t>
            </w:r>
          </w:p>
          <w:p w14:paraId="37E1BA70" w14:textId="77777777" w:rsidR="002E347E" w:rsidRDefault="002E347E" w:rsidP="00126751">
            <w:pPr>
              <w:jc w:val="both"/>
              <w:rPr>
                <w:rFonts w:ascii="Arial" w:eastAsia="Times New Roman" w:hAnsi="Arial" w:cs="Arial"/>
                <w14:ligatures w14:val="none"/>
              </w:rPr>
            </w:pPr>
          </w:p>
          <w:p w14:paraId="69BA3619" w14:textId="77777777" w:rsidR="002E347E" w:rsidRDefault="002E347E" w:rsidP="00126751">
            <w:pPr>
              <w:jc w:val="both"/>
              <w:rPr>
                <w:rFonts w:ascii="Arial" w:eastAsia="Times New Roman" w:hAnsi="Arial" w:cs="Arial"/>
                <w14:ligatures w14:val="none"/>
              </w:rPr>
            </w:pPr>
            <w:r w:rsidRPr="00554E0D">
              <w:rPr>
                <w:rFonts w:ascii="Arial" w:eastAsia="Times New Roman" w:hAnsi="Arial" w:cs="Arial"/>
                <w14:ligatures w14:val="none"/>
              </w:rPr>
              <w:t>Ustawa wejdzie w życie po upływie</w:t>
            </w:r>
            <w:r>
              <w:rPr>
                <w:rFonts w:ascii="Arial" w:eastAsia="Times New Roman" w:hAnsi="Arial" w:cs="Arial"/>
                <w14:ligatures w14:val="none"/>
              </w:rPr>
              <w:t xml:space="preserve"> 3</w:t>
            </w:r>
            <w:r w:rsidRPr="00554E0D">
              <w:rPr>
                <w:rFonts w:ascii="Arial" w:eastAsia="Times New Roman" w:hAnsi="Arial" w:cs="Arial"/>
                <w14:ligatures w14:val="none"/>
              </w:rPr>
              <w:t xml:space="preserve"> miesi</w:t>
            </w:r>
            <w:r>
              <w:rPr>
                <w:rFonts w:ascii="Arial" w:eastAsia="Times New Roman" w:hAnsi="Arial" w:cs="Arial"/>
                <w14:ligatures w14:val="none"/>
              </w:rPr>
              <w:t>ę</w:t>
            </w:r>
            <w:r w:rsidRPr="00554E0D">
              <w:rPr>
                <w:rFonts w:ascii="Arial" w:eastAsia="Times New Roman" w:hAnsi="Arial" w:cs="Arial"/>
                <w14:ligatures w14:val="none"/>
              </w:rPr>
              <w:t>c</w:t>
            </w:r>
            <w:r>
              <w:rPr>
                <w:rFonts w:ascii="Arial" w:eastAsia="Times New Roman" w:hAnsi="Arial" w:cs="Arial"/>
                <w14:ligatures w14:val="none"/>
              </w:rPr>
              <w:t>y</w:t>
            </w:r>
            <w:r w:rsidRPr="00554E0D">
              <w:rPr>
                <w:rFonts w:ascii="Arial" w:eastAsia="Times New Roman" w:hAnsi="Arial" w:cs="Arial"/>
                <w14:ligatures w14:val="none"/>
              </w:rPr>
              <w:t xml:space="preserve"> od dnia ogłoszenia</w:t>
            </w:r>
            <w:r>
              <w:rPr>
                <w:rFonts w:ascii="Arial" w:eastAsia="Times New Roman" w:hAnsi="Arial" w:cs="Arial"/>
                <w14:ligatures w14:val="none"/>
              </w:rPr>
              <w:t xml:space="preserve"> Wydłużona długość </w:t>
            </w:r>
            <w:r>
              <w:rPr>
                <w:rFonts w:ascii="Arial" w:eastAsia="Times New Roman" w:hAnsi="Arial" w:cs="Arial"/>
                <w:i/>
                <w:iCs/>
                <w14:ligatures w14:val="none"/>
              </w:rPr>
              <w:t>vacatio legis</w:t>
            </w:r>
            <w:r w:rsidRPr="009B25A8">
              <w:rPr>
                <w:rFonts w:ascii="Arial" w:eastAsia="Times New Roman" w:hAnsi="Arial" w:cs="Arial"/>
                <w14:ligatures w14:val="none"/>
              </w:rPr>
              <w:t xml:space="preserve"> jest związana z konie</w:t>
            </w:r>
            <w:r>
              <w:rPr>
                <w:rFonts w:ascii="Arial" w:eastAsia="Times New Roman" w:hAnsi="Arial" w:cs="Arial"/>
                <w14:ligatures w14:val="none"/>
              </w:rPr>
              <w:t>czno</w:t>
            </w:r>
            <w:r w:rsidRPr="009B25A8">
              <w:rPr>
                <w:rFonts w:ascii="Arial" w:eastAsia="Times New Roman" w:hAnsi="Arial" w:cs="Arial"/>
                <w14:ligatures w14:val="none"/>
              </w:rPr>
              <w:t>ści</w:t>
            </w:r>
            <w:r>
              <w:rPr>
                <w:rFonts w:ascii="Arial" w:eastAsia="Times New Roman" w:hAnsi="Arial" w:cs="Arial"/>
                <w14:ligatures w14:val="none"/>
              </w:rPr>
              <w:t>ą</w:t>
            </w:r>
            <w:r w:rsidRPr="009B25A8">
              <w:rPr>
                <w:rFonts w:ascii="Arial" w:eastAsia="Times New Roman" w:hAnsi="Arial" w:cs="Arial"/>
                <w14:ligatures w14:val="none"/>
              </w:rPr>
              <w:t xml:space="preserve"> zapewnienia odpowiedniego </w:t>
            </w:r>
            <w:r>
              <w:rPr>
                <w:rFonts w:ascii="Arial" w:eastAsia="Times New Roman" w:hAnsi="Arial" w:cs="Arial"/>
                <w14:ligatures w14:val="none"/>
              </w:rPr>
              <w:t xml:space="preserve">przygotowania służb geodezyjno-kartograficznych do zwiększonego napływu wniosków o dane z RCN. </w:t>
            </w:r>
          </w:p>
          <w:p w14:paraId="27BA4E00" w14:textId="77777777" w:rsidR="002E347E" w:rsidRDefault="002E347E" w:rsidP="00126751">
            <w:pPr>
              <w:jc w:val="both"/>
              <w:rPr>
                <w:rFonts w:ascii="Arial" w:eastAsia="Times New Roman" w:hAnsi="Arial" w:cs="Arial"/>
                <w14:ligatures w14:val="none"/>
              </w:rPr>
            </w:pPr>
          </w:p>
          <w:p w14:paraId="314F2593" w14:textId="77777777" w:rsidR="002E347E" w:rsidRPr="009B25A8" w:rsidRDefault="002E347E" w:rsidP="00126751">
            <w:pPr>
              <w:jc w:val="both"/>
              <w:rPr>
                <w:rFonts w:ascii="Arial" w:eastAsia="Times New Roman" w:hAnsi="Arial" w:cs="Arial"/>
                <w14:ligatures w14:val="none"/>
              </w:rPr>
            </w:pPr>
            <w:r>
              <w:rPr>
                <w:rFonts w:ascii="Arial" w:eastAsia="Times New Roman" w:hAnsi="Arial" w:cs="Arial"/>
                <w14:ligatures w14:val="none"/>
              </w:rPr>
              <w:t>Projekt zawiera przepis przejściowy przesądzający, że do</w:t>
            </w:r>
            <w:r w:rsidRPr="009B25A8">
              <w:rPr>
                <w:rFonts w:ascii="Arial" w:eastAsia="Times New Roman" w:hAnsi="Arial" w:cs="Arial"/>
                <w14:ligatures w14:val="none"/>
              </w:rPr>
              <w:t xml:space="preserve"> wniosków o udostępnienie rejestru cen nieruchomości złożonych i nierozpatrzonych przed dniem wejścia w</w:t>
            </w:r>
            <w:r>
              <w:rPr>
                <w:rFonts w:ascii="Arial" w:eastAsia="Times New Roman" w:hAnsi="Arial" w:cs="Arial"/>
                <w14:ligatures w14:val="none"/>
              </w:rPr>
              <w:t xml:space="preserve"> </w:t>
            </w:r>
            <w:r w:rsidRPr="009B25A8">
              <w:rPr>
                <w:rFonts w:ascii="Arial" w:eastAsia="Times New Roman" w:hAnsi="Arial" w:cs="Arial"/>
                <w14:ligatures w14:val="none"/>
              </w:rPr>
              <w:t xml:space="preserve">życie </w:t>
            </w:r>
            <w:r>
              <w:rPr>
                <w:rFonts w:ascii="Arial" w:eastAsia="Times New Roman" w:hAnsi="Arial" w:cs="Arial"/>
                <w14:ligatures w14:val="none"/>
              </w:rPr>
              <w:t>nowelizacji stosuje przepisy dotychczasowe</w:t>
            </w:r>
            <w:r w:rsidRPr="009B25A8">
              <w:rPr>
                <w:rFonts w:ascii="Arial" w:eastAsia="Times New Roman" w:hAnsi="Arial" w:cs="Arial"/>
                <w14:ligatures w14:val="none"/>
              </w:rPr>
              <w:t>.</w:t>
            </w:r>
          </w:p>
          <w:p w14:paraId="44614E7F" w14:textId="77777777" w:rsidR="002E347E" w:rsidRDefault="002E347E" w:rsidP="00126751">
            <w:pPr>
              <w:jc w:val="both"/>
              <w:rPr>
                <w:rFonts w:ascii="Arial" w:eastAsia="Times New Roman" w:hAnsi="Arial" w:cs="Arial"/>
                <w14:ligatures w14:val="none"/>
              </w:rPr>
            </w:pPr>
            <w:r>
              <w:rPr>
                <w:rFonts w:ascii="Arial" w:eastAsia="Times New Roman" w:hAnsi="Arial" w:cs="Arial"/>
                <w14:ligatures w14:val="none"/>
              </w:rPr>
              <w:t>Proponuje się także przepis czasowo zachowujący moc rozporządzenia wydanego na podstawie art. 40g. Obecne rozporządzenie nie będzie niezgodne z brzmieniem ustawy po nowelizacji. Dotychczasowe przepisy rozporządzenia dotyczące ustalania opłaty za dane z RCN będą bezprzedmiotowe</w:t>
            </w:r>
            <w:r w:rsidRPr="009B25A8">
              <w:rPr>
                <w:rFonts w:ascii="Arial" w:eastAsia="Times New Roman" w:hAnsi="Arial" w:cs="Arial"/>
                <w14:ligatures w14:val="none"/>
              </w:rPr>
              <w:t>,</w:t>
            </w:r>
            <w:r>
              <w:rPr>
                <w:rFonts w:ascii="Arial" w:eastAsia="Times New Roman" w:hAnsi="Arial" w:cs="Arial"/>
                <w14:ligatures w14:val="none"/>
              </w:rPr>
              <w:t xml:space="preserve"> co pozwala je zachować w mocy na czas niezbędny do wydania nowego rozporządzenia, na okres </w:t>
            </w:r>
            <w:r w:rsidRPr="009B25A8">
              <w:rPr>
                <w:rFonts w:ascii="Arial" w:eastAsia="Times New Roman" w:hAnsi="Arial" w:cs="Arial"/>
                <w14:ligatures w14:val="none"/>
              </w:rPr>
              <w:t>6 miesięcy od dnia wejścia w życie ustawy.</w:t>
            </w:r>
          </w:p>
          <w:p w14:paraId="640D2CA9" w14:textId="77777777" w:rsidR="002E347E" w:rsidRPr="0017371E" w:rsidRDefault="002E347E" w:rsidP="00126751">
            <w:pPr>
              <w:jc w:val="both"/>
              <w:rPr>
                <w:rFonts w:ascii="Aptos" w:eastAsia="Times New Roman" w:hAnsi="Aptos" w:cs="Times New Roman"/>
                <w:color w:val="808080" w:themeColor="background1" w:themeShade="80"/>
                <w:sz w:val="20"/>
                <w:szCs w:val="20"/>
                <w14:ligatures w14:val="none"/>
              </w:rPr>
            </w:pPr>
          </w:p>
        </w:tc>
      </w:tr>
    </w:tbl>
    <w:p w14:paraId="40869CAC" w14:textId="77777777" w:rsidR="002E347E" w:rsidRPr="009C37AF" w:rsidRDefault="002E347E" w:rsidP="002E347E">
      <w:pPr>
        <w:jc w:val="both"/>
        <w:rPr>
          <w:rFonts w:ascii="Arial" w:hAnsi="Arial" w:cs="Arial"/>
          <w:sz w:val="24"/>
        </w:rPr>
      </w:pPr>
    </w:p>
    <w:p w14:paraId="073554DE" w14:textId="77777777" w:rsidR="002E347E" w:rsidRDefault="002E347E" w:rsidP="002E347E">
      <w:pPr>
        <w:jc w:val="both"/>
        <w:rPr>
          <w:rFonts w:ascii="Arial" w:hAnsi="Arial" w:cs="Arial"/>
          <w:sz w:val="24"/>
        </w:rPr>
      </w:pPr>
      <w:r w:rsidRPr="009C37AF">
        <w:rPr>
          <w:rFonts w:ascii="Arial" w:hAnsi="Arial" w:cs="Arial"/>
          <w:sz w:val="24"/>
        </w:rPr>
        <w:t xml:space="preserve">[4] Jakie są </w:t>
      </w:r>
      <w:bookmarkStart w:id="6" w:name="_Hlk174443131"/>
      <w:r>
        <w:rPr>
          <w:rFonts w:ascii="Arial" w:hAnsi="Arial" w:cs="Arial"/>
          <w:sz w:val="24"/>
        </w:rPr>
        <w:t>przewidywane</w:t>
      </w:r>
      <w:bookmarkEnd w:id="6"/>
      <w:r w:rsidRPr="009C37AF">
        <w:rPr>
          <w:rFonts w:ascii="Arial" w:hAnsi="Arial" w:cs="Arial"/>
          <w:sz w:val="24"/>
        </w:rPr>
        <w:t xml:space="preserve"> skutki społeczne projektowanych rozwiązań?</w:t>
      </w:r>
    </w:p>
    <w:tbl>
      <w:tblPr>
        <w:tblStyle w:val="Tabela-Siatka"/>
        <w:tblW w:w="0" w:type="auto"/>
        <w:tblLook w:val="04A0" w:firstRow="1" w:lastRow="0" w:firstColumn="1" w:lastColumn="0" w:noHBand="0" w:noVBand="1"/>
      </w:tblPr>
      <w:tblGrid>
        <w:gridCol w:w="9060"/>
      </w:tblGrid>
      <w:tr w:rsidR="002E347E" w:rsidRPr="00E91DF0" w14:paraId="044EE895" w14:textId="77777777" w:rsidTr="00126751">
        <w:tc>
          <w:tcPr>
            <w:tcW w:w="9062" w:type="dxa"/>
          </w:tcPr>
          <w:p w14:paraId="24058F15" w14:textId="77777777" w:rsidR="002E347E" w:rsidRPr="00AA5FA8" w:rsidRDefault="002E347E" w:rsidP="00126751">
            <w:pPr>
              <w:jc w:val="both"/>
              <w:rPr>
                <w:rFonts w:ascii="Arial" w:hAnsi="Arial" w:cs="Arial"/>
                <w:color w:val="808080" w:themeColor="background1" w:themeShade="80"/>
                <w:sz w:val="20"/>
                <w:szCs w:val="20"/>
              </w:rPr>
            </w:pPr>
            <w:r w:rsidRPr="00554E0D">
              <w:rPr>
                <w:rFonts w:ascii="Arial" w:hAnsi="Arial" w:cs="Arial"/>
              </w:rPr>
              <w:t xml:space="preserve">Projekt będzie miał korzystne skutki społeczne. </w:t>
            </w:r>
            <w:r>
              <w:rPr>
                <w:rFonts w:ascii="Arial" w:hAnsi="Arial" w:cs="Arial"/>
              </w:rPr>
              <w:t xml:space="preserve">Bezpłatny dostęp do RCN spowoduje korzystne skutki w zakresie powszechności wiedzy o cenach transakcyjnych nieruchomości przeznaczonych na zaspokajanie potrzeb mieszkaniowych. </w:t>
            </w:r>
          </w:p>
        </w:tc>
      </w:tr>
    </w:tbl>
    <w:p w14:paraId="623D4856" w14:textId="77777777" w:rsidR="002E347E" w:rsidRDefault="002E347E" w:rsidP="002E347E">
      <w:pPr>
        <w:jc w:val="both"/>
        <w:rPr>
          <w:rFonts w:ascii="Arial" w:hAnsi="Arial" w:cs="Arial"/>
          <w:sz w:val="24"/>
        </w:rPr>
      </w:pPr>
    </w:p>
    <w:p w14:paraId="640CEB86" w14:textId="77777777" w:rsidR="002E347E" w:rsidRDefault="002E347E" w:rsidP="002E347E">
      <w:pPr>
        <w:jc w:val="both"/>
        <w:rPr>
          <w:rFonts w:ascii="Arial" w:hAnsi="Arial" w:cs="Arial"/>
          <w:sz w:val="24"/>
        </w:rPr>
      </w:pPr>
      <w:r w:rsidRPr="009C37AF">
        <w:rPr>
          <w:rFonts w:ascii="Arial" w:hAnsi="Arial" w:cs="Arial"/>
          <w:sz w:val="24"/>
        </w:rPr>
        <w:t xml:space="preserve">[5] Jakie są </w:t>
      </w:r>
      <w:r>
        <w:rPr>
          <w:rFonts w:ascii="Arial" w:hAnsi="Arial" w:cs="Arial"/>
          <w:sz w:val="24"/>
        </w:rPr>
        <w:t>przewidywane</w:t>
      </w:r>
      <w:r w:rsidRPr="009C37AF">
        <w:rPr>
          <w:rFonts w:ascii="Arial" w:hAnsi="Arial" w:cs="Arial"/>
          <w:sz w:val="24"/>
        </w:rPr>
        <w:t xml:space="preserve"> skutki gospodarcze projektowanych rozwiązań?</w:t>
      </w:r>
    </w:p>
    <w:p w14:paraId="5EB45D2D" w14:textId="77777777" w:rsidR="002E347E" w:rsidRPr="0053141B" w:rsidRDefault="002E347E" w:rsidP="002E347E">
      <w:pPr>
        <w:pBdr>
          <w:top w:val="single" w:sz="4" w:space="1" w:color="auto"/>
          <w:left w:val="single" w:sz="4" w:space="0" w:color="auto"/>
          <w:bottom w:val="single" w:sz="4" w:space="1" w:color="auto"/>
          <w:right w:val="single" w:sz="4" w:space="4" w:color="auto"/>
        </w:pBdr>
        <w:jc w:val="both"/>
        <w:rPr>
          <w:rFonts w:ascii="Arial" w:hAnsi="Arial" w:cs="Arial"/>
        </w:rPr>
      </w:pPr>
      <w:r w:rsidRPr="0053141B">
        <w:rPr>
          <w:rFonts w:ascii="Arial" w:hAnsi="Arial" w:cs="Arial"/>
        </w:rPr>
        <w:t xml:space="preserve">Projekt </w:t>
      </w:r>
      <w:r>
        <w:rPr>
          <w:rFonts w:ascii="Arial" w:hAnsi="Arial" w:cs="Arial"/>
        </w:rPr>
        <w:t>nie wywoła bezpośrednich skutków gospodarczych.</w:t>
      </w:r>
    </w:p>
    <w:p w14:paraId="48677DF5" w14:textId="77777777" w:rsidR="002E347E" w:rsidRDefault="002E347E" w:rsidP="002E347E">
      <w:pPr>
        <w:jc w:val="both"/>
        <w:rPr>
          <w:rFonts w:ascii="Arial" w:hAnsi="Arial" w:cs="Arial"/>
          <w:sz w:val="24"/>
        </w:rPr>
      </w:pPr>
      <w:r w:rsidRPr="009C37AF">
        <w:rPr>
          <w:rFonts w:ascii="Arial" w:hAnsi="Arial" w:cs="Arial"/>
          <w:sz w:val="24"/>
        </w:rPr>
        <w:t xml:space="preserve">[6] </w:t>
      </w:r>
      <w:r w:rsidRPr="00295B4F">
        <w:rPr>
          <w:rFonts w:ascii="Arial" w:hAnsi="Arial" w:cs="Arial"/>
          <w:sz w:val="24"/>
        </w:rPr>
        <w:t xml:space="preserve">Jakie są </w:t>
      </w:r>
      <w:r w:rsidRPr="00226094">
        <w:rPr>
          <w:rFonts w:ascii="Arial" w:hAnsi="Arial" w:cs="Arial"/>
          <w:sz w:val="24"/>
        </w:rPr>
        <w:t>przewidywane</w:t>
      </w:r>
      <w:r w:rsidRPr="00295B4F">
        <w:rPr>
          <w:rFonts w:ascii="Arial" w:hAnsi="Arial" w:cs="Arial"/>
          <w:sz w:val="24"/>
        </w:rPr>
        <w:t xml:space="preserve"> skutki finansowe projektowanych rozwiązań, w</w:t>
      </w:r>
      <w:r>
        <w:rPr>
          <w:rFonts w:ascii="Arial" w:hAnsi="Arial" w:cs="Arial"/>
          <w:sz w:val="24"/>
        </w:rPr>
        <w:t> </w:t>
      </w:r>
      <w:r w:rsidRPr="00295B4F">
        <w:rPr>
          <w:rFonts w:ascii="Arial" w:hAnsi="Arial" w:cs="Arial"/>
          <w:sz w:val="24"/>
        </w:rPr>
        <w:t xml:space="preserve">szczególności wpływ na sektor finansów publicznych, w tym na budżet państwa </w:t>
      </w:r>
      <w:r>
        <w:rPr>
          <w:rFonts w:ascii="Arial" w:hAnsi="Arial" w:cs="Arial"/>
          <w:sz w:val="24"/>
        </w:rPr>
        <w:t>i </w:t>
      </w:r>
      <w:r w:rsidRPr="00295B4F">
        <w:rPr>
          <w:rFonts w:ascii="Arial" w:hAnsi="Arial" w:cs="Arial"/>
          <w:sz w:val="24"/>
        </w:rPr>
        <w:t>budżety jednostek samorządu terytorialnego?</w:t>
      </w:r>
    </w:p>
    <w:tbl>
      <w:tblPr>
        <w:tblStyle w:val="Tabela-Siatka"/>
        <w:tblW w:w="0" w:type="auto"/>
        <w:tblLook w:val="04A0" w:firstRow="1" w:lastRow="0" w:firstColumn="1" w:lastColumn="0" w:noHBand="0" w:noVBand="1"/>
      </w:tblPr>
      <w:tblGrid>
        <w:gridCol w:w="9060"/>
      </w:tblGrid>
      <w:tr w:rsidR="002E347E" w14:paraId="19F2C13F" w14:textId="77777777" w:rsidTr="00126751">
        <w:tc>
          <w:tcPr>
            <w:tcW w:w="9062" w:type="dxa"/>
          </w:tcPr>
          <w:p w14:paraId="45580E73" w14:textId="77777777" w:rsidR="002E347E" w:rsidRDefault="002E347E" w:rsidP="00126751">
            <w:pPr>
              <w:jc w:val="both"/>
              <w:rPr>
                <w:rFonts w:ascii="Arial" w:hAnsi="Arial" w:cs="Arial"/>
                <w:szCs w:val="20"/>
              </w:rPr>
            </w:pPr>
            <w:r w:rsidRPr="0053141B">
              <w:rPr>
                <w:rFonts w:ascii="Arial" w:hAnsi="Arial" w:cs="Arial"/>
                <w:szCs w:val="20"/>
              </w:rPr>
              <w:t xml:space="preserve">Projekt </w:t>
            </w:r>
            <w:r>
              <w:rPr>
                <w:rFonts w:ascii="Arial" w:hAnsi="Arial" w:cs="Arial"/>
                <w:szCs w:val="20"/>
              </w:rPr>
              <w:t xml:space="preserve">nie </w:t>
            </w:r>
            <w:r w:rsidRPr="0053141B">
              <w:rPr>
                <w:rFonts w:ascii="Arial" w:hAnsi="Arial" w:cs="Arial"/>
                <w:szCs w:val="20"/>
              </w:rPr>
              <w:t>wywoła skutk</w:t>
            </w:r>
            <w:r>
              <w:rPr>
                <w:rFonts w:ascii="Arial" w:hAnsi="Arial" w:cs="Arial"/>
                <w:szCs w:val="20"/>
              </w:rPr>
              <w:t>ów</w:t>
            </w:r>
            <w:r w:rsidRPr="0053141B">
              <w:rPr>
                <w:rFonts w:ascii="Arial" w:hAnsi="Arial" w:cs="Arial"/>
                <w:szCs w:val="20"/>
              </w:rPr>
              <w:t xml:space="preserve"> finansow</w:t>
            </w:r>
            <w:r>
              <w:rPr>
                <w:rFonts w:ascii="Arial" w:hAnsi="Arial" w:cs="Arial"/>
                <w:szCs w:val="20"/>
              </w:rPr>
              <w:t>ych</w:t>
            </w:r>
            <w:r w:rsidRPr="0053141B">
              <w:rPr>
                <w:rFonts w:ascii="Arial" w:hAnsi="Arial" w:cs="Arial"/>
                <w:szCs w:val="20"/>
              </w:rPr>
              <w:t xml:space="preserve"> w</w:t>
            </w:r>
            <w:r>
              <w:rPr>
                <w:rFonts w:ascii="Arial" w:hAnsi="Arial" w:cs="Arial"/>
                <w:szCs w:val="20"/>
              </w:rPr>
              <w:t xml:space="preserve"> budżecie państwa.</w:t>
            </w:r>
          </w:p>
          <w:p w14:paraId="5E2F2193" w14:textId="77777777" w:rsidR="002E347E" w:rsidRPr="00980651" w:rsidRDefault="002E347E" w:rsidP="00126751">
            <w:pPr>
              <w:jc w:val="both"/>
              <w:rPr>
                <w:rFonts w:ascii="Arial" w:hAnsi="Arial" w:cs="Arial"/>
                <w:szCs w:val="20"/>
              </w:rPr>
            </w:pPr>
            <w:r>
              <w:rPr>
                <w:rFonts w:ascii="Arial" w:hAnsi="Arial" w:cs="Arial"/>
                <w:szCs w:val="20"/>
              </w:rPr>
              <w:t xml:space="preserve">Projekt spowoduje obniżenie dochodów budżetów powiatów, z tym że nie wystąpi ono w powiatach, które </w:t>
            </w:r>
            <w:r w:rsidRPr="00980651">
              <w:rPr>
                <w:rFonts w:ascii="Arial" w:hAnsi="Arial" w:cs="Arial"/>
                <w:szCs w:val="20"/>
              </w:rPr>
              <w:t>dane RCN udostępniają w całości poprzez geoportal.gov.pl</w:t>
            </w:r>
          </w:p>
          <w:p w14:paraId="5127EF66" w14:textId="64A0EF31" w:rsidR="002E347E" w:rsidRPr="00980651" w:rsidRDefault="002E347E" w:rsidP="00126751">
            <w:pPr>
              <w:jc w:val="both"/>
              <w:rPr>
                <w:rFonts w:ascii="Arial" w:hAnsi="Arial" w:cs="Arial"/>
                <w:szCs w:val="20"/>
              </w:rPr>
            </w:pPr>
            <w:r w:rsidRPr="00980651">
              <w:rPr>
                <w:rFonts w:ascii="Arial" w:hAnsi="Arial" w:cs="Arial"/>
                <w:szCs w:val="20"/>
              </w:rPr>
              <w:t xml:space="preserve">Dochody powiatu z tytułu opłat za dostęp do danych RCN to kwota na poziomie ok. 8 mln zł w całym kraju, co daje średnią ok. 20 tys. zł na powiat (źródło: </w:t>
            </w:r>
            <w:r w:rsidRPr="00CA7447">
              <w:rPr>
                <w:rFonts w:ascii="Arial" w:hAnsi="Arial" w:cs="Arial"/>
                <w:szCs w:val="20"/>
              </w:rPr>
              <w:t xml:space="preserve">biznesinteria.pl </w:t>
            </w:r>
            <w:r w:rsidRPr="00CA7447">
              <w:t>-</w:t>
            </w:r>
            <w:r w:rsidRPr="00CA7447">
              <w:rPr>
                <w:rFonts w:ascii="Arial" w:hAnsi="Arial" w:cs="Arial"/>
                <w:szCs w:val="20"/>
              </w:rPr>
              <w:t xml:space="preserve"> </w:t>
            </w:r>
            <w:r w:rsidRPr="00CA7447">
              <w:rPr>
                <w:rFonts w:ascii="Arial" w:hAnsi="Arial" w:cs="Arial"/>
                <w:i/>
                <w:iCs/>
                <w:szCs w:val="20"/>
              </w:rPr>
              <w:t>Nie trzeba czekać na budowę rządowego portalu. Dane z rejestru cen można upublicznić od ręki</w:t>
            </w:r>
            <w:r>
              <w:rPr>
                <w:rFonts w:ascii="Arial" w:hAnsi="Arial" w:cs="Arial"/>
                <w:szCs w:val="20"/>
              </w:rPr>
              <w:t>,</w:t>
            </w:r>
            <w:r w:rsidRPr="00980651">
              <w:rPr>
                <w:rFonts w:ascii="Arial" w:hAnsi="Arial" w:cs="Arial"/>
                <w:szCs w:val="20"/>
              </w:rPr>
              <w:t xml:space="preserve"> dostęp 25</w:t>
            </w:r>
            <w:r>
              <w:rPr>
                <w:rFonts w:ascii="Arial" w:hAnsi="Arial" w:cs="Arial"/>
                <w:szCs w:val="20"/>
              </w:rPr>
              <w:t>.</w:t>
            </w:r>
            <w:r w:rsidRPr="00980651">
              <w:rPr>
                <w:rFonts w:ascii="Arial" w:hAnsi="Arial" w:cs="Arial"/>
                <w:szCs w:val="20"/>
              </w:rPr>
              <w:t>06</w:t>
            </w:r>
            <w:r>
              <w:rPr>
                <w:rFonts w:ascii="Arial" w:hAnsi="Arial" w:cs="Arial"/>
                <w:szCs w:val="20"/>
              </w:rPr>
              <w:t>.</w:t>
            </w:r>
            <w:r w:rsidRPr="00980651">
              <w:rPr>
                <w:rFonts w:ascii="Arial" w:hAnsi="Arial" w:cs="Arial"/>
                <w:szCs w:val="20"/>
              </w:rPr>
              <w:t>2025 r.)</w:t>
            </w:r>
          </w:p>
          <w:p w14:paraId="04180495" w14:textId="77777777" w:rsidR="002E347E" w:rsidRDefault="002E347E" w:rsidP="00126751">
            <w:pPr>
              <w:jc w:val="both"/>
              <w:rPr>
                <w:rFonts w:ascii="Arial" w:hAnsi="Arial" w:cs="Arial"/>
                <w:sz w:val="24"/>
              </w:rPr>
            </w:pPr>
          </w:p>
          <w:p w14:paraId="28748A84" w14:textId="77777777" w:rsidR="002E347E" w:rsidRDefault="002E347E" w:rsidP="00126751">
            <w:pPr>
              <w:jc w:val="both"/>
              <w:rPr>
                <w:rFonts w:ascii="Arial" w:hAnsi="Arial" w:cs="Arial"/>
                <w:sz w:val="24"/>
              </w:rPr>
            </w:pPr>
          </w:p>
        </w:tc>
      </w:tr>
    </w:tbl>
    <w:p w14:paraId="10EC58D1" w14:textId="77777777" w:rsidR="002E347E" w:rsidRPr="009C37AF" w:rsidRDefault="002E347E" w:rsidP="002E347E">
      <w:pPr>
        <w:jc w:val="both"/>
        <w:rPr>
          <w:rFonts w:ascii="Arial" w:hAnsi="Arial" w:cs="Arial"/>
          <w:sz w:val="24"/>
        </w:rPr>
      </w:pPr>
    </w:p>
    <w:p w14:paraId="561815FA" w14:textId="77777777" w:rsidR="002E347E" w:rsidRDefault="002E347E" w:rsidP="002E347E">
      <w:pPr>
        <w:jc w:val="both"/>
        <w:rPr>
          <w:rFonts w:ascii="Arial" w:hAnsi="Arial" w:cs="Arial"/>
          <w:sz w:val="24"/>
        </w:rPr>
      </w:pPr>
      <w:r w:rsidRPr="009C37AF">
        <w:rPr>
          <w:rFonts w:ascii="Arial" w:hAnsi="Arial" w:cs="Arial"/>
          <w:sz w:val="24"/>
        </w:rPr>
        <w:lastRenderedPageBreak/>
        <w:t>[7] Wykaz źródeł finansowania, jeśli projekt ustawy pociąga za sobą obciążenie budżetu państwa lub budżetów jednostek samorządu terytorialnego</w:t>
      </w:r>
      <w:r>
        <w:rPr>
          <w:rFonts w:ascii="Arial" w:hAnsi="Arial" w:cs="Arial"/>
          <w:sz w:val="24"/>
        </w:rPr>
        <w:t>.</w:t>
      </w:r>
    </w:p>
    <w:tbl>
      <w:tblPr>
        <w:tblStyle w:val="Tabela-Siatka"/>
        <w:tblW w:w="0" w:type="auto"/>
        <w:tblLook w:val="04A0" w:firstRow="1" w:lastRow="0" w:firstColumn="1" w:lastColumn="0" w:noHBand="0" w:noVBand="1"/>
      </w:tblPr>
      <w:tblGrid>
        <w:gridCol w:w="9060"/>
      </w:tblGrid>
      <w:tr w:rsidR="002E347E" w14:paraId="175571B2" w14:textId="77777777" w:rsidTr="00126751">
        <w:tc>
          <w:tcPr>
            <w:tcW w:w="9062" w:type="dxa"/>
          </w:tcPr>
          <w:p w14:paraId="750FFFAB" w14:textId="77777777" w:rsidR="002E347E" w:rsidRDefault="002E347E" w:rsidP="00126751">
            <w:pPr>
              <w:jc w:val="both"/>
              <w:rPr>
                <w:rFonts w:ascii="Arial" w:hAnsi="Arial" w:cs="Arial"/>
                <w:szCs w:val="20"/>
              </w:rPr>
            </w:pPr>
            <w:r w:rsidRPr="0053141B">
              <w:rPr>
                <w:rFonts w:ascii="Arial" w:hAnsi="Arial" w:cs="Arial"/>
                <w:szCs w:val="20"/>
              </w:rPr>
              <w:t>Projekt nie pociąga za sobą obciążenia budżetu państwa</w:t>
            </w:r>
            <w:r>
              <w:rPr>
                <w:rFonts w:ascii="Arial" w:hAnsi="Arial" w:cs="Arial"/>
                <w:szCs w:val="20"/>
              </w:rPr>
              <w:t xml:space="preserve">. </w:t>
            </w:r>
          </w:p>
          <w:p w14:paraId="01D039E3" w14:textId="77777777" w:rsidR="002E347E" w:rsidRPr="0053141B" w:rsidRDefault="002E347E" w:rsidP="00126751">
            <w:pPr>
              <w:jc w:val="both"/>
              <w:rPr>
                <w:rFonts w:ascii="Arial" w:hAnsi="Arial" w:cs="Arial"/>
                <w:color w:val="808080" w:themeColor="background1" w:themeShade="80"/>
                <w:sz w:val="18"/>
                <w:szCs w:val="18"/>
              </w:rPr>
            </w:pPr>
            <w:r>
              <w:rPr>
                <w:rFonts w:ascii="Arial" w:hAnsi="Arial" w:cs="Arial"/>
                <w:szCs w:val="20"/>
              </w:rPr>
              <w:t xml:space="preserve">W przypadku budżetu powiatu nie zmienia się zakres wykonywanych zadań, które będą finansowane w ramach wydatków na realizowanie zadań związanych z funkcjonowaniem RCN. </w:t>
            </w:r>
            <w:r w:rsidRPr="0053141B">
              <w:rPr>
                <w:rFonts w:ascii="Arial" w:hAnsi="Arial" w:cs="Arial"/>
                <w:szCs w:val="20"/>
              </w:rPr>
              <w:t xml:space="preserve"> </w:t>
            </w:r>
          </w:p>
          <w:p w14:paraId="2C496932" w14:textId="77777777" w:rsidR="002E347E" w:rsidRDefault="002E347E" w:rsidP="00126751">
            <w:pPr>
              <w:jc w:val="both"/>
              <w:rPr>
                <w:rFonts w:ascii="Arial" w:hAnsi="Arial" w:cs="Arial"/>
                <w:sz w:val="24"/>
              </w:rPr>
            </w:pPr>
          </w:p>
        </w:tc>
      </w:tr>
    </w:tbl>
    <w:p w14:paraId="43F76B91" w14:textId="77777777" w:rsidR="002E347E" w:rsidRPr="009C37AF" w:rsidRDefault="002E347E" w:rsidP="002E347E">
      <w:pPr>
        <w:jc w:val="both"/>
        <w:rPr>
          <w:rFonts w:ascii="Arial" w:hAnsi="Arial" w:cs="Arial"/>
          <w:sz w:val="24"/>
        </w:rPr>
      </w:pPr>
    </w:p>
    <w:p w14:paraId="05E67278" w14:textId="77777777" w:rsidR="002E347E" w:rsidRPr="009C37AF" w:rsidRDefault="002E347E" w:rsidP="002E347E">
      <w:pPr>
        <w:rPr>
          <w:rFonts w:ascii="Arial" w:hAnsi="Arial" w:cs="Arial"/>
          <w:sz w:val="24"/>
        </w:rPr>
      </w:pPr>
      <w:r w:rsidRPr="009C37AF">
        <w:rPr>
          <w:rFonts w:ascii="Arial" w:hAnsi="Arial" w:cs="Arial"/>
          <w:sz w:val="24"/>
        </w:rPr>
        <w:t>[8] Czy projekt ustawy podlega procedurze notyfikacyjnej?</w:t>
      </w:r>
      <w:r>
        <w:rPr>
          <w:rFonts w:ascii="Arial" w:hAnsi="Arial" w:cs="Arial"/>
          <w:sz w:val="24"/>
        </w:rPr>
        <w:t xml:space="preserve"> </w:t>
      </w:r>
    </w:p>
    <w:p w14:paraId="74C2226F" w14:textId="77777777" w:rsidR="002E347E" w:rsidRDefault="002E347E" w:rsidP="002E347E">
      <w:pPr>
        <w:pStyle w:val="Akapitzlist"/>
        <w:numPr>
          <w:ilvl w:val="0"/>
          <w:numId w:val="1"/>
        </w:numPr>
        <w:spacing w:line="240" w:lineRule="auto"/>
        <w:jc w:val="both"/>
        <w:rPr>
          <w:rFonts w:ascii="Arial" w:hAnsi="Arial" w:cs="Arial"/>
          <w:sz w:val="24"/>
        </w:rPr>
      </w:pPr>
      <w:r>
        <w:rPr>
          <w:rFonts w:ascii="Arial" w:hAnsi="Arial" w:cs="Arial"/>
          <w:sz w:val="24"/>
        </w:rPr>
        <w:t>Nie</w:t>
      </w:r>
      <w:r w:rsidRPr="009C37AF">
        <w:rPr>
          <w:rFonts w:ascii="Arial" w:hAnsi="Arial" w:cs="Arial"/>
          <w:sz w:val="24"/>
        </w:rPr>
        <w:t xml:space="preserve"> </w:t>
      </w:r>
    </w:p>
    <w:p w14:paraId="56AFE90B" w14:textId="77777777" w:rsidR="002E347E" w:rsidRPr="0017371E" w:rsidRDefault="002E347E" w:rsidP="002E347E">
      <w:pPr>
        <w:pStyle w:val="Akapitzlist"/>
        <w:spacing w:line="240" w:lineRule="auto"/>
        <w:jc w:val="both"/>
        <w:rPr>
          <w:rFonts w:ascii="Arial" w:hAnsi="Arial" w:cs="Arial"/>
          <w:sz w:val="24"/>
        </w:rPr>
      </w:pPr>
    </w:p>
    <w:p w14:paraId="358C3A6A" w14:textId="77777777" w:rsidR="002E347E" w:rsidRDefault="002E347E" w:rsidP="002E347E">
      <w:pPr>
        <w:rPr>
          <w:rFonts w:ascii="Arial" w:hAnsi="Arial" w:cs="Arial"/>
          <w:b/>
          <w:sz w:val="24"/>
        </w:rPr>
      </w:pPr>
      <w:r w:rsidRPr="009C37AF">
        <w:rPr>
          <w:rFonts w:ascii="Arial" w:hAnsi="Arial" w:cs="Arial"/>
          <w:b/>
          <w:sz w:val="24"/>
        </w:rPr>
        <w:t>III.</w:t>
      </w:r>
      <w:r>
        <w:rPr>
          <w:rFonts w:ascii="Arial" w:hAnsi="Arial" w:cs="Arial"/>
          <w:b/>
          <w:sz w:val="24"/>
        </w:rPr>
        <w:t xml:space="preserve"> </w:t>
      </w:r>
      <w:bookmarkStart w:id="7" w:name="_Hlk174441212"/>
      <w:r>
        <w:rPr>
          <w:rFonts w:ascii="Arial" w:hAnsi="Arial" w:cs="Arial"/>
          <w:b/>
          <w:sz w:val="24"/>
        </w:rPr>
        <w:t>Wymogi określone w art. 34 ust. 2a i 2b regulaminu Sejmu</w:t>
      </w:r>
    </w:p>
    <w:p w14:paraId="5FA9D22B" w14:textId="77777777" w:rsidR="002E347E" w:rsidRPr="009C37AF" w:rsidRDefault="002E347E" w:rsidP="002E347E">
      <w:pPr>
        <w:rPr>
          <w:rFonts w:ascii="Arial" w:hAnsi="Arial" w:cs="Arial"/>
          <w:b/>
          <w:sz w:val="24"/>
        </w:rPr>
      </w:pPr>
      <w:r>
        <w:rPr>
          <w:rFonts w:ascii="Arial" w:hAnsi="Arial" w:cs="Arial"/>
          <w:b/>
          <w:sz w:val="24"/>
        </w:rPr>
        <w:t xml:space="preserve"> </w:t>
      </w:r>
      <w:bookmarkEnd w:id="7"/>
    </w:p>
    <w:p w14:paraId="10F09769" w14:textId="77777777" w:rsidR="002E347E" w:rsidRPr="009C37AF" w:rsidRDefault="002E347E" w:rsidP="002E347E">
      <w:pPr>
        <w:jc w:val="both"/>
        <w:rPr>
          <w:rFonts w:ascii="Arial" w:hAnsi="Arial" w:cs="Arial"/>
          <w:sz w:val="24"/>
        </w:rPr>
      </w:pPr>
      <w:r w:rsidRPr="009C37AF">
        <w:rPr>
          <w:rFonts w:ascii="Arial" w:hAnsi="Arial" w:cs="Arial"/>
          <w:sz w:val="24"/>
        </w:rPr>
        <w:t>[</w:t>
      </w:r>
      <w:r>
        <w:rPr>
          <w:rFonts w:ascii="Arial" w:hAnsi="Arial" w:cs="Arial"/>
          <w:sz w:val="24"/>
        </w:rPr>
        <w:t>9</w:t>
      </w:r>
      <w:r w:rsidRPr="009C37AF">
        <w:rPr>
          <w:rFonts w:ascii="Arial" w:hAnsi="Arial" w:cs="Arial"/>
          <w:sz w:val="24"/>
        </w:rPr>
        <w:t>] Czy projekt ustawy zawiera przepisy określające zasady podejmowania, wykonywania lub zakończenia działalności gospodarczej (art. 34 ust. 2a regulaminu Sejmu)</w:t>
      </w:r>
      <w:r>
        <w:rPr>
          <w:rFonts w:ascii="Arial" w:hAnsi="Arial" w:cs="Arial"/>
          <w:sz w:val="24"/>
        </w:rPr>
        <w:t>?</w:t>
      </w:r>
    </w:p>
    <w:p w14:paraId="78ED5E2C" w14:textId="77777777" w:rsidR="002E347E" w:rsidRPr="009C37AF" w:rsidRDefault="002E347E" w:rsidP="002E347E">
      <w:pPr>
        <w:pStyle w:val="Akapitzlist"/>
        <w:numPr>
          <w:ilvl w:val="0"/>
          <w:numId w:val="1"/>
        </w:numPr>
        <w:spacing w:line="240" w:lineRule="auto"/>
        <w:jc w:val="both"/>
        <w:rPr>
          <w:rFonts w:ascii="Arial" w:hAnsi="Arial" w:cs="Arial"/>
          <w:sz w:val="24"/>
        </w:rPr>
      </w:pPr>
      <w:r>
        <w:rPr>
          <w:rFonts w:ascii="Arial" w:hAnsi="Arial" w:cs="Arial"/>
          <w:sz w:val="24"/>
        </w:rPr>
        <w:t>Nie</w:t>
      </w:r>
    </w:p>
    <w:p w14:paraId="4542C5AE" w14:textId="77777777" w:rsidR="002E347E" w:rsidRPr="005E6B97" w:rsidRDefault="002E347E" w:rsidP="002E347E">
      <w:pPr>
        <w:spacing w:line="240" w:lineRule="auto"/>
        <w:jc w:val="both"/>
        <w:rPr>
          <w:rFonts w:ascii="Arial" w:hAnsi="Arial" w:cs="Arial"/>
          <w:sz w:val="24"/>
        </w:rPr>
      </w:pPr>
    </w:p>
    <w:p w14:paraId="2DA67C41" w14:textId="77777777" w:rsidR="002E347E" w:rsidRPr="009C37AF" w:rsidRDefault="002E347E" w:rsidP="002E347E">
      <w:pPr>
        <w:jc w:val="both"/>
        <w:rPr>
          <w:rFonts w:ascii="Arial" w:hAnsi="Arial" w:cs="Arial"/>
          <w:sz w:val="24"/>
        </w:rPr>
      </w:pPr>
      <w:r w:rsidRPr="009C37AF">
        <w:rPr>
          <w:rFonts w:ascii="Arial" w:hAnsi="Arial" w:cs="Arial"/>
          <w:sz w:val="24"/>
        </w:rPr>
        <w:t>[</w:t>
      </w:r>
      <w:r>
        <w:rPr>
          <w:rFonts w:ascii="Arial" w:hAnsi="Arial" w:cs="Arial"/>
          <w:sz w:val="24"/>
        </w:rPr>
        <w:t>10</w:t>
      </w:r>
      <w:r w:rsidRPr="009C37AF">
        <w:rPr>
          <w:rFonts w:ascii="Arial" w:hAnsi="Arial" w:cs="Arial"/>
          <w:sz w:val="24"/>
        </w:rPr>
        <w:t xml:space="preserve">] Czy wdrożenie projektowanych przepisów spowoduje obciążenia administracyjne </w:t>
      </w:r>
      <w:proofErr w:type="spellStart"/>
      <w:r w:rsidRPr="009C37AF">
        <w:rPr>
          <w:rFonts w:ascii="Arial" w:hAnsi="Arial" w:cs="Arial"/>
          <w:sz w:val="24"/>
        </w:rPr>
        <w:t>mikroprzedsiębiorców</w:t>
      </w:r>
      <w:proofErr w:type="spellEnd"/>
      <w:r w:rsidRPr="009C37AF">
        <w:rPr>
          <w:rFonts w:ascii="Arial" w:hAnsi="Arial" w:cs="Arial"/>
          <w:sz w:val="24"/>
        </w:rPr>
        <w:t>, małych i średnich przedsiębiorców</w:t>
      </w:r>
      <w:r>
        <w:rPr>
          <w:rFonts w:ascii="Arial" w:hAnsi="Arial" w:cs="Arial"/>
          <w:sz w:val="24"/>
        </w:rPr>
        <w:t xml:space="preserve"> </w:t>
      </w:r>
      <w:r w:rsidRPr="009C37AF">
        <w:rPr>
          <w:rFonts w:ascii="Arial" w:hAnsi="Arial" w:cs="Arial"/>
          <w:sz w:val="24"/>
        </w:rPr>
        <w:t>(art. 34 ust. 2a regulaminu Sejmu)</w:t>
      </w:r>
      <w:r>
        <w:rPr>
          <w:rFonts w:ascii="Arial" w:hAnsi="Arial" w:cs="Arial"/>
          <w:sz w:val="24"/>
        </w:rPr>
        <w:t>?</w:t>
      </w:r>
    </w:p>
    <w:p w14:paraId="66F98D7F" w14:textId="77777777" w:rsidR="002E347E" w:rsidRDefault="002E347E" w:rsidP="002E347E">
      <w:pPr>
        <w:pStyle w:val="Akapitzlist"/>
        <w:numPr>
          <w:ilvl w:val="0"/>
          <w:numId w:val="1"/>
        </w:numPr>
        <w:spacing w:line="240" w:lineRule="auto"/>
        <w:jc w:val="both"/>
        <w:rPr>
          <w:rFonts w:ascii="Arial" w:hAnsi="Arial" w:cs="Arial"/>
          <w:sz w:val="24"/>
        </w:rPr>
      </w:pPr>
      <w:r>
        <w:rPr>
          <w:rFonts w:ascii="Arial" w:hAnsi="Arial" w:cs="Arial"/>
          <w:sz w:val="24"/>
        </w:rPr>
        <w:t>Nie</w:t>
      </w:r>
    </w:p>
    <w:p w14:paraId="0EB630B5" w14:textId="77777777" w:rsidR="002E347E" w:rsidRPr="005E6B97" w:rsidRDefault="002E347E" w:rsidP="002E347E">
      <w:pPr>
        <w:spacing w:line="240" w:lineRule="auto"/>
        <w:jc w:val="both"/>
        <w:rPr>
          <w:rFonts w:ascii="Arial" w:hAnsi="Arial" w:cs="Arial"/>
          <w:sz w:val="24"/>
        </w:rPr>
      </w:pPr>
    </w:p>
    <w:p w14:paraId="7E7754FC" w14:textId="77777777" w:rsidR="002E347E" w:rsidRPr="009C37AF" w:rsidRDefault="002E347E" w:rsidP="002E347E">
      <w:pPr>
        <w:jc w:val="both"/>
        <w:rPr>
          <w:rFonts w:ascii="Arial" w:hAnsi="Arial" w:cs="Arial"/>
          <w:sz w:val="24"/>
        </w:rPr>
      </w:pPr>
      <w:r w:rsidRPr="009C37AF">
        <w:rPr>
          <w:rFonts w:ascii="Arial" w:hAnsi="Arial" w:cs="Arial"/>
          <w:sz w:val="24"/>
        </w:rPr>
        <w:t>[1</w:t>
      </w:r>
      <w:r>
        <w:rPr>
          <w:rFonts w:ascii="Arial" w:hAnsi="Arial" w:cs="Arial"/>
          <w:sz w:val="24"/>
        </w:rPr>
        <w:t>1</w:t>
      </w:r>
      <w:r w:rsidRPr="009C37AF">
        <w:rPr>
          <w:rFonts w:ascii="Arial" w:hAnsi="Arial" w:cs="Arial"/>
          <w:sz w:val="24"/>
        </w:rPr>
        <w:t>] Czy projekt ustawy zawiera przepisy regulacyjne lub określa wymogi dotyczące świadczenia usług transgranicznych w rozumieniu ustawy z dnia 22 grudnia 2015 r. o</w:t>
      </w:r>
      <w:r>
        <w:rPr>
          <w:rFonts w:ascii="Arial" w:hAnsi="Arial" w:cs="Arial"/>
          <w:sz w:val="24"/>
        </w:rPr>
        <w:t> </w:t>
      </w:r>
      <w:r w:rsidRPr="009C37AF">
        <w:rPr>
          <w:rFonts w:ascii="Arial" w:hAnsi="Arial" w:cs="Arial"/>
          <w:sz w:val="24"/>
        </w:rPr>
        <w:t>zasadach uznawania kwalifikacji zawodowych nabytych w państwach członkowskich Unii Europejskiej (art. 34 ust. 2b regulaminu Sejmu)?</w:t>
      </w:r>
    </w:p>
    <w:p w14:paraId="43044175" w14:textId="77777777" w:rsidR="002E347E" w:rsidRPr="009C37AF" w:rsidRDefault="002E347E" w:rsidP="002E347E">
      <w:pPr>
        <w:pStyle w:val="Akapitzlist"/>
        <w:numPr>
          <w:ilvl w:val="0"/>
          <w:numId w:val="2"/>
        </w:numPr>
        <w:ind w:left="714" w:hanging="357"/>
        <w:jc w:val="both"/>
        <w:rPr>
          <w:rFonts w:ascii="Arial" w:hAnsi="Arial" w:cs="Arial"/>
          <w:sz w:val="24"/>
        </w:rPr>
      </w:pPr>
      <w:r w:rsidRPr="00554E0D">
        <w:rPr>
          <w:rFonts w:ascii="Arial" w:hAnsi="Arial" w:cs="Arial"/>
          <w:sz w:val="24"/>
        </w:rPr>
        <w:t xml:space="preserve">Nie </w:t>
      </w:r>
      <w:bookmarkEnd w:id="0"/>
    </w:p>
    <w:p w14:paraId="124ACFF2" w14:textId="77777777" w:rsidR="00F740E1" w:rsidRDefault="00F740E1"/>
    <w:sectPr w:rsidR="00F740E1" w:rsidSect="002E347E">
      <w:headerReference w:type="default" r:id="rId5"/>
      <w:headerReference w:type="first" r:id="rId6"/>
      <w:pgSz w:w="11906" w:h="16838"/>
      <w:pgMar w:top="851" w:right="1418" w:bottom="851" w:left="1418" w:header="567"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13068"/>
      <w:docPartObj>
        <w:docPartGallery w:val="Page Numbers (Top of Page)"/>
        <w:docPartUnique/>
      </w:docPartObj>
    </w:sdtPr>
    <w:sdtEndPr>
      <w:rPr>
        <w:rFonts w:ascii="Arial" w:hAnsi="Arial" w:cs="Arial"/>
        <w:sz w:val="24"/>
      </w:rPr>
    </w:sdtEndPr>
    <w:sdtContent>
      <w:p w14:paraId="154FED5D" w14:textId="77777777" w:rsidR="00000000" w:rsidRPr="00312A04" w:rsidRDefault="00000000">
        <w:pPr>
          <w:pStyle w:val="Nagwek"/>
          <w:jc w:val="center"/>
          <w:rPr>
            <w:rFonts w:ascii="Arial" w:hAnsi="Arial" w:cs="Arial"/>
            <w:sz w:val="24"/>
          </w:rPr>
        </w:pPr>
        <w:r w:rsidRPr="00312A04">
          <w:rPr>
            <w:rFonts w:ascii="Arial" w:hAnsi="Arial" w:cs="Arial"/>
            <w:sz w:val="24"/>
          </w:rPr>
          <w:fldChar w:fldCharType="begin"/>
        </w:r>
        <w:r w:rsidRPr="00312A04">
          <w:rPr>
            <w:rFonts w:ascii="Arial" w:hAnsi="Arial" w:cs="Arial"/>
            <w:sz w:val="24"/>
          </w:rPr>
          <w:instrText>PAGE   \* MERGEFORMAT</w:instrText>
        </w:r>
        <w:r w:rsidRPr="00312A04">
          <w:rPr>
            <w:rFonts w:ascii="Arial" w:hAnsi="Arial" w:cs="Arial"/>
            <w:sz w:val="24"/>
          </w:rPr>
          <w:fldChar w:fldCharType="separate"/>
        </w:r>
        <w:r>
          <w:rPr>
            <w:rFonts w:ascii="Arial" w:hAnsi="Arial" w:cs="Arial"/>
            <w:noProof/>
            <w:sz w:val="24"/>
          </w:rPr>
          <w:t>2</w:t>
        </w:r>
        <w:r w:rsidRPr="00312A04">
          <w:rPr>
            <w:rFonts w:ascii="Arial" w:hAnsi="Arial" w:cs="Arial"/>
            <w:sz w:val="24"/>
          </w:rPr>
          <w:fldChar w:fldCharType="end"/>
        </w:r>
      </w:p>
    </w:sdtContent>
  </w:sdt>
  <w:p w14:paraId="3651C3AE" w14:textId="77777777" w:rsidR="00000000" w:rsidRPr="00874584" w:rsidRDefault="00000000" w:rsidP="00874584">
    <w:pPr>
      <w:pStyle w:val="Nagwek"/>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C7A8" w14:textId="77777777" w:rsidR="00000000" w:rsidRPr="00E61BA0" w:rsidRDefault="00000000" w:rsidP="00E61BA0">
    <w:pPr>
      <w:pStyle w:val="Nagwek"/>
    </w:pPr>
    <w:r w:rsidRPr="00E61B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3487502">
    <w:abstractNumId w:val="1"/>
  </w:num>
  <w:num w:numId="2" w16cid:durableId="149633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7E"/>
    <w:rsid w:val="001B7544"/>
    <w:rsid w:val="001F0F57"/>
    <w:rsid w:val="002E347E"/>
    <w:rsid w:val="00CA7447"/>
    <w:rsid w:val="00CE7AEB"/>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EA94"/>
  <w15:chartTrackingRefBased/>
  <w15:docId w15:val="{334566B5-7A69-4DCE-8381-7724F69E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47E"/>
  </w:style>
  <w:style w:type="paragraph" w:styleId="Nagwek1">
    <w:name w:val="heading 1"/>
    <w:basedOn w:val="Normalny"/>
    <w:next w:val="Normalny"/>
    <w:link w:val="Nagwek1Znak"/>
    <w:uiPriority w:val="9"/>
    <w:qFormat/>
    <w:rsid w:val="002E3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E3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E34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E34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E34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E34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34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34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34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34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E34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E34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E34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E34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E34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34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34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347E"/>
    <w:rPr>
      <w:rFonts w:eastAsiaTheme="majorEastAsia" w:cstheme="majorBidi"/>
      <w:color w:val="272727" w:themeColor="text1" w:themeTint="D8"/>
    </w:rPr>
  </w:style>
  <w:style w:type="paragraph" w:styleId="Tytu">
    <w:name w:val="Title"/>
    <w:basedOn w:val="Normalny"/>
    <w:next w:val="Normalny"/>
    <w:link w:val="TytuZnak"/>
    <w:uiPriority w:val="10"/>
    <w:qFormat/>
    <w:rsid w:val="002E3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34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34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34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347E"/>
    <w:pPr>
      <w:spacing w:before="160"/>
      <w:jc w:val="center"/>
    </w:pPr>
    <w:rPr>
      <w:i/>
      <w:iCs/>
      <w:color w:val="404040" w:themeColor="text1" w:themeTint="BF"/>
    </w:rPr>
  </w:style>
  <w:style w:type="character" w:customStyle="1" w:styleId="CytatZnak">
    <w:name w:val="Cytat Znak"/>
    <w:basedOn w:val="Domylnaczcionkaakapitu"/>
    <w:link w:val="Cytat"/>
    <w:uiPriority w:val="29"/>
    <w:rsid w:val="002E347E"/>
    <w:rPr>
      <w:i/>
      <w:iCs/>
      <w:color w:val="404040" w:themeColor="text1" w:themeTint="BF"/>
    </w:rPr>
  </w:style>
  <w:style w:type="paragraph" w:styleId="Akapitzlist">
    <w:name w:val="List Paragraph"/>
    <w:basedOn w:val="Normalny"/>
    <w:uiPriority w:val="34"/>
    <w:qFormat/>
    <w:rsid w:val="002E347E"/>
    <w:pPr>
      <w:ind w:left="720"/>
      <w:contextualSpacing/>
    </w:pPr>
  </w:style>
  <w:style w:type="character" w:styleId="Wyrnienieintensywne">
    <w:name w:val="Intense Emphasis"/>
    <w:basedOn w:val="Domylnaczcionkaakapitu"/>
    <w:uiPriority w:val="21"/>
    <w:qFormat/>
    <w:rsid w:val="002E347E"/>
    <w:rPr>
      <w:i/>
      <w:iCs/>
      <w:color w:val="0F4761" w:themeColor="accent1" w:themeShade="BF"/>
    </w:rPr>
  </w:style>
  <w:style w:type="paragraph" w:styleId="Cytatintensywny">
    <w:name w:val="Intense Quote"/>
    <w:basedOn w:val="Normalny"/>
    <w:next w:val="Normalny"/>
    <w:link w:val="CytatintensywnyZnak"/>
    <w:uiPriority w:val="30"/>
    <w:qFormat/>
    <w:rsid w:val="002E3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E347E"/>
    <w:rPr>
      <w:i/>
      <w:iCs/>
      <w:color w:val="0F4761" w:themeColor="accent1" w:themeShade="BF"/>
    </w:rPr>
  </w:style>
  <w:style w:type="character" w:styleId="Odwoanieintensywne">
    <w:name w:val="Intense Reference"/>
    <w:basedOn w:val="Domylnaczcionkaakapitu"/>
    <w:uiPriority w:val="32"/>
    <w:qFormat/>
    <w:rsid w:val="002E347E"/>
    <w:rPr>
      <w:b/>
      <w:bCs/>
      <w:smallCaps/>
      <w:color w:val="0F4761" w:themeColor="accent1" w:themeShade="BF"/>
      <w:spacing w:val="5"/>
    </w:rPr>
  </w:style>
  <w:style w:type="table" w:styleId="Tabela-Siatka">
    <w:name w:val="Table Grid"/>
    <w:basedOn w:val="Standardowy"/>
    <w:uiPriority w:val="39"/>
    <w:rsid w:val="002E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47E"/>
  </w:style>
  <w:style w:type="paragraph" w:customStyle="1" w:styleId="TYTUAKTUprzedmiotregulacjiustawylubrozporzdzenia">
    <w:name w:val="TYTUŁ_AKTU – przedmiot regulacji ustawy lub rozporządzenia"/>
    <w:next w:val="Normalny"/>
    <w:uiPriority w:val="6"/>
    <w:qFormat/>
    <w:rsid w:val="002E347E"/>
    <w:pPr>
      <w:keepNext/>
      <w:suppressAutoHyphens/>
      <w:spacing w:before="120" w:after="360" w:line="360" w:lineRule="auto"/>
      <w:jc w:val="center"/>
    </w:pPr>
    <w:rPr>
      <w:rFonts w:ascii="Times" w:eastAsiaTheme="minorEastAsia" w:hAnsi="Times" w:cs="Arial"/>
      <w:b/>
      <w:bCs/>
      <w:kern w:val="0"/>
      <w:sz w:val="24"/>
      <w:szCs w:val="24"/>
      <w:lang w:eastAsia="pl-PL"/>
    </w:rPr>
  </w:style>
  <w:style w:type="character" w:styleId="Hipercze">
    <w:name w:val="Hyperlink"/>
    <w:basedOn w:val="Domylnaczcionkaakapitu"/>
    <w:uiPriority w:val="99"/>
    <w:unhideWhenUsed/>
    <w:rsid w:val="002E347E"/>
    <w:rPr>
      <w:color w:val="467886" w:themeColor="hyperlink"/>
      <w:u w:val="single"/>
    </w:rPr>
  </w:style>
  <w:style w:type="paragraph" w:customStyle="1" w:styleId="ARTartustawynprozporzdzenia">
    <w:name w:val="ART(§) – art. ustawy (§ np. rozporządzenia)"/>
    <w:uiPriority w:val="11"/>
    <w:qFormat/>
    <w:rsid w:val="002E347E"/>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2E347E"/>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2E347E"/>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2E347E"/>
    <w:pPr>
      <w:spacing w:before="0"/>
    </w:pPr>
    <w:rPr>
      <w:bCs/>
    </w:rPr>
  </w:style>
  <w:style w:type="paragraph" w:customStyle="1" w:styleId="PKTpunkt">
    <w:name w:val="PKT – punkt"/>
    <w:uiPriority w:val="13"/>
    <w:qFormat/>
    <w:rsid w:val="002E347E"/>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LITlitera">
    <w:name w:val="LIT – litera"/>
    <w:basedOn w:val="PKTpunkt"/>
    <w:uiPriority w:val="14"/>
    <w:qFormat/>
    <w:rsid w:val="002E347E"/>
    <w:pPr>
      <w:ind w:left="986" w:hanging="476"/>
    </w:pPr>
  </w:style>
  <w:style w:type="paragraph" w:customStyle="1" w:styleId="ZLITzmlitartykuempunktem">
    <w:name w:val="Z/LIT – zm. lit. artykułem (punktem)"/>
    <w:basedOn w:val="LITlitera"/>
    <w:uiPriority w:val="32"/>
    <w:qFormat/>
    <w:rsid w:val="002E347E"/>
  </w:style>
  <w:style w:type="paragraph" w:customStyle="1" w:styleId="ZLITPKTzmpktliter">
    <w:name w:val="Z_LIT/PKT – zm. pkt literą"/>
    <w:basedOn w:val="PKTpunkt"/>
    <w:uiPriority w:val="47"/>
    <w:qFormat/>
    <w:rsid w:val="002E347E"/>
    <w:pPr>
      <w:ind w:left="1497"/>
    </w:pPr>
  </w:style>
  <w:style w:type="paragraph" w:customStyle="1" w:styleId="OZNPROJEKTUwskazaniedatylubwersjiprojektu">
    <w:name w:val="OZN_PROJEKTU – wskazanie daty lub wersji projektu"/>
    <w:next w:val="OZNRODZAKTUtznustawalubrozporzdzenieiorganwydajcy"/>
    <w:uiPriority w:val="5"/>
    <w:qFormat/>
    <w:rsid w:val="002E347E"/>
    <w:pPr>
      <w:spacing w:after="0" w:line="360" w:lineRule="auto"/>
      <w:jc w:val="right"/>
    </w:pPr>
    <w:rPr>
      <w:rFonts w:ascii="Times New Roman" w:eastAsiaTheme="minorEastAsia" w:hAnsi="Times New Roman" w:cs="Arial"/>
      <w:kern w:val="0"/>
      <w:sz w:val="24"/>
      <w:szCs w:val="20"/>
      <w:u w:val="single"/>
      <w:lang w:eastAsia="pl-PL"/>
    </w:rPr>
  </w:style>
  <w:style w:type="paragraph" w:customStyle="1" w:styleId="ZDANIENASTNOWYWIERSZnpzddrugienowywierszwust">
    <w:name w:val="ZDANIE_NAST_NOWY_WIERSZ – np. zd. drugie (nowy wiersz) w ust."/>
    <w:basedOn w:val="Normalny"/>
    <w:next w:val="USTustnpkodeksu"/>
    <w:uiPriority w:val="17"/>
    <w:qFormat/>
    <w:rsid w:val="002E347E"/>
    <w:pPr>
      <w:spacing w:after="0" w:line="360" w:lineRule="auto"/>
      <w:jc w:val="both"/>
    </w:pPr>
    <w:rPr>
      <w:rFonts w:ascii="Times" w:eastAsiaTheme="minorEastAsia" w:hAnsi="Times" w:cs="Arial"/>
      <w:bCs/>
      <w:kern w:val="0"/>
      <w:sz w:val="24"/>
      <w:szCs w:val="20"/>
      <w:lang w:eastAsia="pl-PL"/>
    </w:rPr>
  </w:style>
  <w:style w:type="character" w:customStyle="1" w:styleId="Ppogrubienie">
    <w:name w:val="_P_ – pogrubienie"/>
    <w:basedOn w:val="Domylnaczcionkaakapitu"/>
    <w:uiPriority w:val="1"/>
    <w:qFormat/>
    <w:rsid w:val="002E347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9102</Characters>
  <Application>Microsoft Office Word</Application>
  <DocSecurity>0</DocSecurity>
  <Lines>75</Lines>
  <Paragraphs>21</Paragraphs>
  <ScaleCrop>false</ScaleCrop>
  <Company>Kancelaria Sejmu</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2</cp:revision>
  <dcterms:created xsi:type="dcterms:W3CDTF">2025-06-26T10:39:00Z</dcterms:created>
  <dcterms:modified xsi:type="dcterms:W3CDTF">2025-06-26T10:41:00Z</dcterms:modified>
</cp:coreProperties>
</file>